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96597"/>
      <w:bookmarkStart w:id="2" w:name="_Toc15306267"/>
      <w:bookmarkStart w:id="3" w:name="_Toc15377425"/>
      <w:bookmarkStart w:id="4" w:name="_Toc15377193"/>
      <w:bookmarkStart w:id="5" w:name="_Toc15378441"/>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2024年度</w:t>
      </w:r>
      <w:bookmarkEnd w:id="0"/>
      <w:bookmarkEnd w:id="1"/>
      <w:bookmarkEnd w:id="2"/>
      <w:bookmarkEnd w:id="3"/>
      <w:bookmarkEnd w:id="4"/>
      <w:bookmarkEnd w:id="5"/>
      <w:bookmarkStart w:id="6" w:name="_Toc15396476"/>
      <w:bookmarkStart w:id="7" w:name="_Toc15378442"/>
      <w:bookmarkStart w:id="8" w:name="_Toc15396598"/>
      <w:bookmarkStart w:id="9" w:name="_Toc15377194"/>
      <w:bookmarkStart w:id="10" w:name="_Toc15306268"/>
      <w:bookmarkStart w:id="11" w:name="_Toc15377426"/>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高县人民代表大会常务委员会办公室</w:t>
      </w: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公开时间：2025年10月27日</w:t>
      </w:r>
    </w:p>
    <w:p>
      <w:pPr>
        <w:pStyle w:val="12"/>
        <w:jc w:val="both"/>
      </w:pPr>
      <w:r>
        <w:rPr>
          <w:rFonts w:hint="eastAsia"/>
          <w:b/>
        </w:rPr>
        <w:t>第一部分部门概况</w:t>
      </w:r>
      <w:r>
        <w:rPr>
          <w:rFonts w:hint="eastAsia"/>
        </w:rPr>
        <w:t xml:space="preserve">  …………………………………………………4</w:t>
      </w:r>
    </w:p>
    <w:p>
      <w:pPr>
        <w:pStyle w:val="12"/>
        <w:jc w:val="both"/>
      </w:pPr>
      <w:r>
        <w:rPr>
          <w:rFonts w:hint="eastAsia"/>
        </w:rPr>
        <w:t xml:space="preserve">   　一、部门职责……………………………………………………4</w:t>
      </w:r>
    </w:p>
    <w:p>
      <w:pPr>
        <w:pStyle w:val="12"/>
        <w:jc w:val="both"/>
      </w:pPr>
      <w:r>
        <w:rPr>
          <w:rFonts w:hint="eastAsia"/>
        </w:rPr>
        <w:t>　   二、机构设置……………………………………………………4</w:t>
      </w:r>
    </w:p>
    <w:p>
      <w:pPr>
        <w:pStyle w:val="12"/>
        <w:jc w:val="both"/>
      </w:pPr>
      <w:r>
        <w:rPr>
          <w:rFonts w:hint="eastAsia"/>
          <w:b/>
        </w:rPr>
        <w:t xml:space="preserve">第二部分 2024年度部门决算情况说明  </w:t>
      </w:r>
      <w:r>
        <w:rPr>
          <w:rFonts w:hint="eastAsia"/>
        </w:rPr>
        <w:t>……………………………5</w:t>
      </w:r>
    </w:p>
    <w:p>
      <w:pPr>
        <w:pStyle w:val="12"/>
        <w:jc w:val="both"/>
      </w:pPr>
      <w:r>
        <w:rPr>
          <w:rFonts w:hint="eastAsia"/>
        </w:rPr>
        <w:t xml:space="preserve">     一、收入支出决算总体情况说明  ……………………………5</w:t>
      </w:r>
    </w:p>
    <w:p>
      <w:pPr>
        <w:pStyle w:val="12"/>
        <w:jc w:val="both"/>
      </w:pPr>
      <w:r>
        <w:rPr>
          <w:rFonts w:hint="eastAsia"/>
        </w:rPr>
        <w:t xml:space="preserve">     二、收入决算情况说明  ………………………………………5</w:t>
      </w:r>
    </w:p>
    <w:p>
      <w:pPr>
        <w:pStyle w:val="12"/>
        <w:jc w:val="both"/>
      </w:pPr>
      <w:r>
        <w:rPr>
          <w:rFonts w:hint="eastAsia"/>
        </w:rPr>
        <w:t xml:space="preserve">     三、支出决算情况说明  ………………………………………5</w:t>
      </w:r>
    </w:p>
    <w:p>
      <w:pPr>
        <w:pStyle w:val="12"/>
        <w:jc w:val="both"/>
      </w:pPr>
      <w:r>
        <w:rPr>
          <w:rFonts w:hint="eastAsia"/>
        </w:rPr>
        <w:t xml:space="preserve">     四、财政拨款收入支出决算总体情况说明 ……………………6</w:t>
      </w:r>
    </w:p>
    <w:p>
      <w:pPr>
        <w:pStyle w:val="12"/>
        <w:jc w:val="both"/>
      </w:pPr>
      <w:r>
        <w:rPr>
          <w:rFonts w:hint="eastAsia"/>
        </w:rPr>
        <w:t xml:space="preserve">     五、一般公共预算财政拨款支出决算情况说明 　……………6</w:t>
      </w:r>
    </w:p>
    <w:p>
      <w:pPr>
        <w:pStyle w:val="12"/>
        <w:ind w:firstLine="560" w:firstLineChars="200"/>
        <w:jc w:val="both"/>
      </w:pPr>
      <w:r>
        <w:rPr>
          <w:rFonts w:hint="eastAsia"/>
        </w:rPr>
        <w:t xml:space="preserve"> 六、一般公共预算财政拨款基本支出决算情况说明  ………9</w:t>
      </w:r>
    </w:p>
    <w:p>
      <w:pPr>
        <w:pStyle w:val="12"/>
        <w:jc w:val="both"/>
      </w:pPr>
      <w:r>
        <w:rPr>
          <w:rFonts w:hint="eastAsia"/>
        </w:rPr>
        <w:t xml:space="preserve">     七、财政拨款“三公”经费支出决算情况说明  ……………9</w:t>
      </w:r>
    </w:p>
    <w:p>
      <w:pPr>
        <w:pStyle w:val="12"/>
        <w:jc w:val="both"/>
      </w:pPr>
      <w:r>
        <w:rPr>
          <w:rFonts w:hint="eastAsia"/>
        </w:rPr>
        <w:t xml:space="preserve">     八、政府性基金预算支出决算情况说明  ……………………11</w:t>
      </w:r>
    </w:p>
    <w:p>
      <w:pPr>
        <w:pStyle w:val="12"/>
        <w:jc w:val="both"/>
      </w:pPr>
      <w:r>
        <w:rPr>
          <w:rFonts w:hint="eastAsia"/>
        </w:rPr>
        <w:t xml:space="preserve">     九、国有资本经营预算支出决算情况说明  …………………11</w:t>
      </w:r>
    </w:p>
    <w:p>
      <w:pPr>
        <w:pStyle w:val="12"/>
        <w:ind w:firstLine="560" w:firstLineChars="200"/>
        <w:jc w:val="both"/>
      </w:pPr>
      <w:r>
        <w:rPr>
          <w:rFonts w:hint="eastAsia"/>
        </w:rPr>
        <w:t xml:space="preserve"> 十、其他重要事项的情况说明  ………………………………11</w:t>
      </w:r>
    </w:p>
    <w:p>
      <w:pPr>
        <w:pStyle w:val="12"/>
        <w:jc w:val="both"/>
      </w:pPr>
      <w:r>
        <w:rPr>
          <w:rFonts w:hint="eastAsia"/>
          <w:b/>
        </w:rPr>
        <w:t>第三部分名词解释</w:t>
      </w:r>
      <w:r>
        <w:rPr>
          <w:rFonts w:hint="eastAsia"/>
        </w:rPr>
        <w:t xml:space="preserve">  …………………………………………………14</w:t>
      </w:r>
    </w:p>
    <w:p>
      <w:pPr>
        <w:pStyle w:val="12"/>
        <w:jc w:val="both"/>
      </w:pPr>
      <w:r>
        <w:rPr>
          <w:rFonts w:hint="eastAsia"/>
          <w:b/>
        </w:rPr>
        <w:t>第四部分附件</w:t>
      </w:r>
      <w:r>
        <w:rPr>
          <w:rFonts w:hint="eastAsia"/>
        </w:rPr>
        <w:t>…………………………………………………………17</w:t>
      </w:r>
    </w:p>
    <w:p>
      <w:pPr>
        <w:pStyle w:val="12"/>
        <w:jc w:val="both"/>
      </w:pPr>
      <w:r>
        <w:rPr>
          <w:rFonts w:hint="eastAsia"/>
          <w:b/>
        </w:rPr>
        <w:t>第五部分附表</w:t>
      </w:r>
      <w:r>
        <w:rPr>
          <w:rFonts w:hint="eastAsia"/>
        </w:rPr>
        <w:t xml:space="preserve">  ………………………………………………………27</w:t>
      </w:r>
    </w:p>
    <w:p>
      <w:pPr>
        <w:pStyle w:val="12"/>
        <w:ind w:firstLine="560" w:firstLineChars="200"/>
        <w:jc w:val="both"/>
      </w:pPr>
      <w:r>
        <w:rPr>
          <w:rFonts w:hint="eastAsia"/>
        </w:rPr>
        <w:t>一、收入支出决算总表……………………………………………27</w:t>
      </w:r>
    </w:p>
    <w:p>
      <w:pPr>
        <w:pStyle w:val="12"/>
        <w:ind w:firstLine="560" w:firstLineChars="200"/>
        <w:jc w:val="both"/>
      </w:pPr>
      <w:r>
        <w:rPr>
          <w:rFonts w:hint="eastAsia"/>
        </w:rPr>
        <w:t>二、收入决算表……………………………………………………27</w:t>
      </w:r>
    </w:p>
    <w:p>
      <w:pPr>
        <w:pStyle w:val="12"/>
        <w:ind w:firstLine="560" w:firstLineChars="200"/>
        <w:jc w:val="both"/>
      </w:pPr>
      <w:r>
        <w:rPr>
          <w:rFonts w:hint="eastAsia"/>
        </w:rPr>
        <w:t>三、支出决算表……………………………………………………27</w:t>
      </w:r>
    </w:p>
    <w:p>
      <w:pPr>
        <w:pStyle w:val="12"/>
        <w:ind w:firstLine="560" w:firstLineChars="200"/>
        <w:jc w:val="both"/>
      </w:pPr>
      <w:r>
        <w:rPr>
          <w:rFonts w:hint="eastAsia"/>
        </w:rPr>
        <w:t>四、财政拨款收入支出决算总表…………………………………27</w:t>
      </w:r>
    </w:p>
    <w:p>
      <w:pPr>
        <w:pStyle w:val="12"/>
        <w:ind w:firstLine="560" w:firstLineChars="200"/>
        <w:jc w:val="both"/>
      </w:pPr>
      <w:r>
        <w:rPr>
          <w:rFonts w:hint="eastAsia"/>
        </w:rPr>
        <w:t>五、财政拨款支出决算明细表……………………………………27</w:t>
      </w:r>
    </w:p>
    <w:p>
      <w:pPr>
        <w:pStyle w:val="12"/>
        <w:ind w:firstLine="560" w:firstLineChars="200"/>
        <w:jc w:val="both"/>
      </w:pPr>
      <w:r>
        <w:rPr>
          <w:rFonts w:hint="eastAsia"/>
        </w:rPr>
        <w:t>六、一般公共预算财政拨款支出决算表…………………………27</w:t>
      </w:r>
    </w:p>
    <w:p>
      <w:pPr>
        <w:pStyle w:val="12"/>
        <w:ind w:firstLine="560" w:firstLineChars="200"/>
        <w:jc w:val="both"/>
      </w:pPr>
      <w:r>
        <w:rPr>
          <w:rFonts w:hint="eastAsia"/>
        </w:rPr>
        <w:t>七、一般公共预算财政拨款支出决算明细表……………………27</w:t>
      </w:r>
    </w:p>
    <w:p>
      <w:pPr>
        <w:pStyle w:val="12"/>
        <w:ind w:firstLine="560" w:firstLineChars="200"/>
        <w:jc w:val="both"/>
      </w:pPr>
      <w:r>
        <w:rPr>
          <w:rFonts w:hint="eastAsia"/>
        </w:rPr>
        <w:t>八、一般公共预算财政拨款基本支出决算表……………………27</w:t>
      </w:r>
    </w:p>
    <w:p>
      <w:pPr>
        <w:pStyle w:val="12"/>
        <w:ind w:firstLine="560" w:firstLineChars="200"/>
        <w:jc w:val="both"/>
      </w:pPr>
      <w:r>
        <w:rPr>
          <w:rFonts w:hint="eastAsia"/>
        </w:rPr>
        <w:t>九、一般公共预算财政拨款项目支出决算表……………………27</w:t>
      </w:r>
    </w:p>
    <w:p>
      <w:pPr>
        <w:pStyle w:val="12"/>
        <w:ind w:firstLine="560" w:firstLineChars="200"/>
        <w:jc w:val="both"/>
      </w:pPr>
      <w:r>
        <w:rPr>
          <w:rFonts w:hint="eastAsia"/>
        </w:rPr>
        <w:t>十、政府性基金预算财政拨款收入支出决算表…………………27</w:t>
      </w:r>
    </w:p>
    <w:p>
      <w:pPr>
        <w:pStyle w:val="12"/>
        <w:ind w:firstLine="560" w:firstLineChars="200"/>
        <w:jc w:val="both"/>
      </w:pPr>
      <w:r>
        <w:rPr>
          <w:rFonts w:hint="eastAsia"/>
        </w:rPr>
        <w:t>十一、国有资本经营预算财政拨款收入支出决算………………27</w:t>
      </w:r>
    </w:p>
    <w:p>
      <w:pPr>
        <w:pStyle w:val="12"/>
        <w:ind w:firstLine="560" w:firstLineChars="200"/>
        <w:jc w:val="both"/>
      </w:pPr>
      <w:r>
        <w:rPr>
          <w:rFonts w:hint="eastAsia"/>
        </w:rPr>
        <w:t>十二、国有资本经营预算财政拨款支出决算表…………………27</w:t>
      </w:r>
    </w:p>
    <w:p>
      <w:pPr>
        <w:pStyle w:val="12"/>
        <w:ind w:firstLine="560" w:firstLineChars="200"/>
        <w:jc w:val="both"/>
      </w:pPr>
      <w:r>
        <w:rPr>
          <w:rFonts w:hint="eastAsia"/>
        </w:rPr>
        <w:t>十三、财政拨款“三公”经费支出决算表………………………27</w:t>
      </w:r>
    </w:p>
    <w:p>
      <w:pPr>
        <w:pStyle w:val="12"/>
        <w:rPr>
          <w:rStyle w:val="28"/>
          <w:rFonts w:ascii="黑体" w:hAnsi="黑体" w:eastAsia="黑体"/>
        </w:rPr>
      </w:pPr>
      <w:bookmarkStart w:id="12" w:name="_Toc15396599"/>
      <w:bookmarkStart w:id="13" w:name="_Toc15377196"/>
      <w:r>
        <w:br w:type="page"/>
      </w:r>
      <w:r>
        <w:rPr>
          <w:rStyle w:val="28"/>
          <w:rFonts w:hint="eastAsia" w:ascii="黑体" w:hAnsi="黑体" w:eastAsia="黑体"/>
        </w:rPr>
        <w:t>第一部分 部门概况</w:t>
      </w:r>
      <w:bookmarkEnd w:id="12"/>
      <w:bookmarkEnd w:id="13"/>
      <w:bookmarkStart w:id="14" w:name="_Toc15396600"/>
      <w:bookmarkStart w:id="15" w:name="_Toc15377197"/>
    </w:p>
    <w:p>
      <w:pPr>
        <w:pStyle w:val="2"/>
        <w:spacing w:before="93"/>
        <w:jc w:val="center"/>
      </w:pPr>
    </w:p>
    <w:p>
      <w:pPr>
        <w:widowControl/>
        <w:spacing w:line="440" w:lineRule="exact"/>
        <w:ind w:firstLine="790" w:firstLineChars="246"/>
        <w:rPr>
          <w:rStyle w:val="29"/>
          <w:rFonts w:ascii="仿宋" w:hAnsi="仿宋" w:eastAsia="仿宋" w:cs="Times New Roman"/>
          <w:b w:val="0"/>
          <w:kern w:val="44"/>
          <w:sz w:val="28"/>
          <w:szCs w:val="28"/>
        </w:rPr>
      </w:pPr>
      <w:r>
        <w:rPr>
          <w:rStyle w:val="29"/>
          <w:rFonts w:hint="eastAsia" w:ascii="黑体" w:hAnsi="黑体" w:eastAsia="黑体"/>
        </w:rPr>
        <w:t>一、</w:t>
      </w:r>
      <w:bookmarkEnd w:id="14"/>
      <w:bookmarkEnd w:id="15"/>
      <w:r>
        <w:rPr>
          <w:rStyle w:val="29"/>
          <w:rFonts w:hint="eastAsia" w:ascii="黑体" w:hAnsi="黑体" w:eastAsia="黑体"/>
        </w:rPr>
        <w:t>部门职责</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承担县人大常委会各种会议会务工作，负责会议决定</w:t>
      </w:r>
      <w:r>
        <w:rPr>
          <w:rFonts w:hint="eastAsia" w:ascii="仿宋" w:hAnsi="仿宋" w:eastAsia="仿宋"/>
          <w:sz w:val="32"/>
          <w:szCs w:val="32"/>
          <w:lang w:eastAsia="zh-CN"/>
        </w:rPr>
        <w:t>事项</w:t>
      </w:r>
      <w:bookmarkStart w:id="64" w:name="_GoBack"/>
      <w:bookmarkEnd w:id="64"/>
      <w:r>
        <w:rPr>
          <w:rFonts w:hint="eastAsia" w:ascii="仿宋" w:hAnsi="仿宋" w:eastAsia="仿宋"/>
          <w:sz w:val="32"/>
          <w:szCs w:val="32"/>
        </w:rPr>
        <w:t>和审议意见的督办工作；负责机关文书、档案管理工作及信息网络和办公自动化建设工作；负责机关行政管理、财务管理、国有资产管理工作；负责机关精神文明建设、人事管理、干部教育和信访工作;办理县人大常委会和主任会议交办的其他事项。</w:t>
      </w:r>
    </w:p>
    <w:p>
      <w:pPr>
        <w:ind w:firstLine="672" w:firstLineChars="210"/>
        <w:rPr>
          <w:rFonts w:ascii="黑体" w:hAnsi="黑体" w:eastAsia="黑体"/>
          <w:sz w:val="32"/>
          <w:szCs w:val="32"/>
        </w:rPr>
      </w:pPr>
      <w:r>
        <w:rPr>
          <w:rFonts w:hint="eastAsia" w:ascii="黑体" w:hAnsi="黑体" w:eastAsia="黑体"/>
          <w:sz w:val="32"/>
          <w:szCs w:val="32"/>
        </w:rPr>
        <w:t>二、机构设置</w:t>
      </w:r>
    </w:p>
    <w:p>
      <w:pPr>
        <w:snapToGrid w:val="0"/>
        <w:spacing w:line="560" w:lineRule="exact"/>
        <w:ind w:firstLine="664" w:firstLineChars="200"/>
        <w:rPr>
          <w:rFonts w:ascii="仿宋_GB2312" w:hAnsi="仿宋" w:eastAsia="仿宋_GB2312"/>
          <w:sz w:val="32"/>
          <w:szCs w:val="32"/>
        </w:rPr>
      </w:pPr>
      <w:r>
        <w:rPr>
          <w:rFonts w:eastAsia="仿宋_GB2312"/>
          <w:spacing w:val="6"/>
          <w:sz w:val="32"/>
          <w:szCs w:val="32"/>
        </w:rPr>
        <w:t>高县人民代表大会</w:t>
      </w:r>
      <w:r>
        <w:rPr>
          <w:rFonts w:eastAsia="仿宋_GB2312"/>
          <w:sz w:val="32"/>
          <w:szCs w:val="32"/>
        </w:rPr>
        <w:t>3</w:t>
      </w:r>
      <w:r>
        <w:rPr>
          <w:rFonts w:eastAsia="仿宋_GB2312"/>
          <w:spacing w:val="6"/>
          <w:sz w:val="32"/>
          <w:szCs w:val="32"/>
        </w:rPr>
        <w:t>个</w:t>
      </w:r>
      <w:r>
        <w:rPr>
          <w:rFonts w:hint="eastAsia" w:eastAsia="仿宋_GB2312"/>
          <w:spacing w:val="6"/>
          <w:sz w:val="32"/>
          <w:szCs w:val="32"/>
        </w:rPr>
        <w:t>正科级</w:t>
      </w:r>
      <w:r>
        <w:rPr>
          <w:rFonts w:eastAsia="仿宋_GB2312"/>
          <w:spacing w:val="6"/>
          <w:sz w:val="32"/>
          <w:szCs w:val="32"/>
        </w:rPr>
        <w:t>专门委员会</w:t>
      </w:r>
      <w:r>
        <w:rPr>
          <w:rFonts w:hint="eastAsia" w:eastAsia="仿宋_GB2312"/>
          <w:spacing w:val="6"/>
          <w:sz w:val="32"/>
          <w:szCs w:val="32"/>
        </w:rPr>
        <w:t>，即：</w:t>
      </w:r>
      <w:r>
        <w:rPr>
          <w:rFonts w:eastAsia="仿宋_GB2312"/>
          <w:sz w:val="32"/>
          <w:szCs w:val="32"/>
        </w:rPr>
        <w:t>社会建设</w:t>
      </w:r>
      <w:r>
        <w:rPr>
          <w:rFonts w:eastAsia="仿宋_GB2312"/>
          <w:spacing w:val="6"/>
          <w:sz w:val="32"/>
          <w:szCs w:val="32"/>
        </w:rPr>
        <w:t>委员会</w:t>
      </w:r>
      <w:r>
        <w:rPr>
          <w:rFonts w:hint="eastAsia" w:eastAsia="仿宋_GB2312"/>
          <w:spacing w:val="6"/>
          <w:sz w:val="32"/>
          <w:szCs w:val="32"/>
        </w:rPr>
        <w:t>、教育科学文化卫生委员会、城乡建设环境资源保护委员会</w:t>
      </w:r>
      <w:r>
        <w:rPr>
          <w:rFonts w:hint="eastAsia" w:ascii="仿宋" w:hAnsi="仿宋" w:eastAsia="仿宋"/>
          <w:sz w:val="32"/>
          <w:szCs w:val="32"/>
        </w:rPr>
        <w:t>。高县人民代表大会常务委员会下设5个正科级工作机构，即：办公室、代表工作委员、经济和预算工作委员会、法制工作委员会、农业与农村工作委员会。办公室下设3个股级行政部门和1个股级事业部门，3个股级行政部门即行政科、信访科、规范性文件备案审查科，1个股级事业单位即预算联网信息工作中心（不独立核算）。</w:t>
      </w:r>
    </w:p>
    <w:p>
      <w:pPr>
        <w:ind w:firstLine="640" w:firstLineChars="200"/>
        <w:rPr>
          <w:rFonts w:ascii="仿宋" w:hAnsi="仿宋" w:eastAsia="仿宋"/>
          <w:sz w:val="32"/>
          <w:szCs w:val="32"/>
        </w:rPr>
      </w:pPr>
      <w:r>
        <w:rPr>
          <w:rFonts w:ascii="仿宋" w:hAnsi="仿宋" w:eastAsia="仿宋"/>
          <w:sz w:val="32"/>
          <w:szCs w:val="32"/>
        </w:rPr>
        <w:t>高县人民代表大会常务委员会办公室</w:t>
      </w:r>
      <w:r>
        <w:rPr>
          <w:rFonts w:hint="eastAsia" w:ascii="仿宋" w:hAnsi="仿宋" w:eastAsia="仿宋"/>
          <w:sz w:val="32"/>
          <w:szCs w:val="32"/>
        </w:rPr>
        <w:t>不存在纳入2024年度部门决算编制范围的二级预算单位。</w:t>
      </w:r>
    </w:p>
    <w:p>
      <w:pPr>
        <w:pStyle w:val="2"/>
        <w:spacing w:before="93"/>
      </w:pPr>
    </w:p>
    <w:p>
      <w:pPr>
        <w:pStyle w:val="2"/>
        <w:spacing w:before="93"/>
      </w:pPr>
    </w:p>
    <w:p>
      <w:pPr>
        <w:pStyle w:val="2"/>
        <w:spacing w:before="93"/>
      </w:pPr>
    </w:p>
    <w:p>
      <w:pPr>
        <w:pStyle w:val="3"/>
        <w:ind w:right="440"/>
        <w:jc w:val="center"/>
        <w:rPr>
          <w:rStyle w:val="28"/>
          <w:rFonts w:ascii="黑体" w:hAnsi="黑体" w:eastAsia="黑体"/>
          <w:b w:val="0"/>
          <w:bCs/>
        </w:rPr>
      </w:pPr>
      <w:bookmarkStart w:id="16" w:name="_Toc15396602"/>
      <w:bookmarkStart w:id="17" w:name="_Toc15377204"/>
      <w:r>
        <w:rPr>
          <w:rFonts w:hint="eastAsia" w:ascii="黑体" w:hAnsi="黑体" w:eastAsia="黑体"/>
          <w:b w:val="0"/>
        </w:rPr>
        <w:t>第二部分 2024年度</w:t>
      </w:r>
      <w:r>
        <w:rPr>
          <w:rStyle w:val="28"/>
          <w:rFonts w:hint="eastAsia" w:ascii="黑体" w:hAnsi="黑体" w:eastAsia="黑体"/>
          <w:b w:val="0"/>
          <w:bCs/>
        </w:rPr>
        <w:t>部门决算情况说明</w:t>
      </w:r>
      <w:bookmarkEnd w:id="16"/>
      <w:bookmarkEnd w:id="17"/>
    </w:p>
    <w:p>
      <w:pPr>
        <w:spacing w:line="600" w:lineRule="exact"/>
        <w:ind w:left="640" w:leftChars="305"/>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一、收</w:t>
      </w:r>
      <w:r>
        <w:rPr>
          <w:rStyle w:val="29"/>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cs="仿宋"/>
          <w:color w:val="000000"/>
          <w:sz w:val="32"/>
          <w:szCs w:val="32"/>
        </w:rPr>
      </w:pPr>
      <w:r>
        <w:rPr>
          <w:rFonts w:hint="eastAsia" w:eastAsia="仿宋_GB2312" w:cs="仿宋_GB2312"/>
          <w:sz w:val="32"/>
          <w:szCs w:val="32"/>
        </w:rPr>
        <w:t>2024年度收入、支出总计均为</w:t>
      </w:r>
      <w:r>
        <w:rPr>
          <w:rFonts w:hint="eastAsia" w:ascii="仿宋" w:hAnsi="仿宋" w:eastAsia="仿宋" w:cs="仿宋"/>
          <w:color w:val="000000"/>
          <w:sz w:val="32"/>
          <w:szCs w:val="32"/>
        </w:rPr>
        <w:t>1436.22万元。</w:t>
      </w:r>
      <w:r>
        <w:rPr>
          <w:rFonts w:hint="eastAsia" w:eastAsia="仿宋_GB2312" w:cs="仿宋_GB2312"/>
          <w:sz w:val="32"/>
          <w:szCs w:val="32"/>
        </w:rPr>
        <w:t>与2023年度相比，收入、支出总计各增加</w:t>
      </w:r>
      <w:r>
        <w:rPr>
          <w:rFonts w:hint="eastAsia" w:ascii="仿宋" w:hAnsi="仿宋" w:eastAsia="仿宋" w:cs="仿宋"/>
          <w:color w:val="000000"/>
          <w:sz w:val="32"/>
          <w:szCs w:val="32"/>
        </w:rPr>
        <w:t>153.93万元，增长12</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eastAsia="仿宋_GB2312" w:cs="仿宋_GB2312"/>
          <w:sz w:val="32"/>
          <w:szCs w:val="32"/>
        </w:rPr>
        <w:t>主要变动原因是</w:t>
      </w:r>
      <w:r>
        <w:rPr>
          <w:rFonts w:hint="eastAsia" w:ascii="仿宋" w:hAnsi="仿宋" w:eastAsia="仿宋" w:cs="仿宋"/>
          <w:color w:val="000000"/>
          <w:sz w:val="32"/>
          <w:szCs w:val="32"/>
        </w:rPr>
        <w:t>新增</w:t>
      </w:r>
      <w:r>
        <w:rPr>
          <w:rFonts w:hint="eastAsia" w:ascii="华文仿宋" w:hAnsi="华文仿宋" w:eastAsia="华文仿宋"/>
          <w:color w:val="000000"/>
          <w:sz w:val="32"/>
          <w:szCs w:val="32"/>
        </w:rPr>
        <w:t>数智人大综合服务平台建设、代表家站运行维护、主席团规范化建设</w:t>
      </w:r>
      <w:r>
        <w:rPr>
          <w:rFonts w:hint="eastAsia" w:ascii="仿宋" w:hAnsi="仿宋" w:eastAsia="仿宋" w:cs="仿宋"/>
          <w:color w:val="000000"/>
          <w:sz w:val="32"/>
          <w:szCs w:val="32"/>
        </w:rPr>
        <w:t>等支出。</w:t>
      </w:r>
    </w:p>
    <w:p>
      <w:pPr>
        <w:pStyle w:val="2"/>
        <w:spacing w:before="93"/>
        <w:jc w:val="center"/>
        <w:rPr>
          <w:rFonts w:ascii="黑体" w:hAnsi="黑体" w:eastAsia="黑体" w:cstheme="majorBidi"/>
          <w:bCs/>
          <w:sz w:val="32"/>
          <w:szCs w:val="32"/>
        </w:rPr>
      </w:pPr>
      <w:r>
        <w:rPr>
          <w:rFonts w:hint="eastAsia"/>
        </w:rPr>
        <w:drawing>
          <wp:inline distT="0" distB="0" distL="0" distR="0">
            <wp:extent cx="5276850" cy="178117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Start w:id="20" w:name="_Toc15377206"/>
      <w:bookmarkStart w:id="21" w:name="_Toc15396604"/>
      <w:r>
        <w:rPr>
          <w:rFonts w:hint="eastAsia" w:ascii="Times New Roman" w:cs="仿宋_GB2312"/>
          <w:sz w:val="32"/>
          <w:szCs w:val="32"/>
        </w:rPr>
        <w:t>图</w:t>
      </w:r>
      <w:r>
        <w:rPr>
          <w:rFonts w:ascii="Times New Roman" w:cs="仿宋_GB2312"/>
          <w:sz w:val="32"/>
          <w:szCs w:val="32"/>
        </w:rPr>
        <w:t>1</w:t>
      </w:r>
      <w:r>
        <w:rPr>
          <w:rFonts w:hint="eastAsia" w:ascii="Times New Roman" w:cs="仿宋_GB2312"/>
          <w:sz w:val="32"/>
          <w:szCs w:val="32"/>
        </w:rPr>
        <w:t>：收入、支出决算总计变动情况图(单位：万元)</w:t>
      </w:r>
    </w:p>
    <w:p>
      <w:pPr>
        <w:spacing w:line="600" w:lineRule="exact"/>
        <w:ind w:left="640"/>
        <w:outlineLvl w:val="1"/>
        <w:rPr>
          <w:rStyle w:val="29"/>
          <w:rFonts w:ascii="黑体" w:hAnsi="黑体" w:eastAsia="黑体"/>
          <w:b w:val="0"/>
        </w:rPr>
      </w:pPr>
      <w:r>
        <w:rPr>
          <w:rFonts w:hint="eastAsia" w:ascii="黑体" w:hAnsi="黑体" w:eastAsia="黑体" w:cstheme="majorBidi"/>
          <w:bCs/>
          <w:sz w:val="32"/>
          <w:szCs w:val="32"/>
        </w:rPr>
        <w:t>二、</w:t>
      </w:r>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cs="仿宋"/>
          <w:color w:val="000000"/>
          <w:sz w:val="32"/>
          <w:szCs w:val="32"/>
        </w:rPr>
      </w:pPr>
      <w:r>
        <w:rPr>
          <w:rFonts w:hint="eastAsia" w:eastAsia="仿宋_GB2312" w:cs="仿宋_GB2312"/>
          <w:sz w:val="32"/>
          <w:szCs w:val="32"/>
        </w:rPr>
        <w:t>2024年度本年收入合计</w:t>
      </w:r>
      <w:r>
        <w:rPr>
          <w:rFonts w:hint="eastAsia" w:ascii="仿宋" w:hAnsi="仿宋" w:eastAsia="仿宋" w:cs="仿宋"/>
          <w:color w:val="000000"/>
          <w:sz w:val="32"/>
          <w:szCs w:val="32"/>
        </w:rPr>
        <w:t>1436.22万元，</w:t>
      </w:r>
      <w:r>
        <w:rPr>
          <w:rFonts w:hint="eastAsia" w:eastAsia="仿宋_GB2312" w:cs="仿宋_GB2312"/>
          <w:sz w:val="32"/>
          <w:szCs w:val="32"/>
        </w:rPr>
        <w:t>其中：一般公共预算财政拨款收入</w:t>
      </w:r>
      <w:r>
        <w:rPr>
          <w:rFonts w:hint="eastAsia" w:ascii="仿宋" w:hAnsi="仿宋" w:eastAsia="仿宋" w:cs="仿宋"/>
          <w:color w:val="000000"/>
          <w:sz w:val="32"/>
          <w:szCs w:val="32"/>
        </w:rPr>
        <w:t>1436.22万元，占100</w:t>
      </w:r>
      <w:r>
        <w:rPr>
          <w:rFonts w:ascii="仿宋" w:hAnsi="仿宋" w:eastAsia="仿宋" w:cs="仿宋"/>
          <w:color w:val="000000"/>
          <w:sz w:val="32"/>
          <w:szCs w:val="32"/>
        </w:rPr>
        <w:t>%</w:t>
      </w:r>
      <w:r>
        <w:rPr>
          <w:rFonts w:hint="eastAsia" w:ascii="仿宋" w:hAnsi="仿宋" w:eastAsia="仿宋" w:cs="仿宋"/>
          <w:color w:val="000000"/>
          <w:sz w:val="32"/>
          <w:szCs w:val="32"/>
        </w:rPr>
        <w:t>。</w:t>
      </w:r>
    </w:p>
    <w:p>
      <w:pPr>
        <w:pStyle w:val="2"/>
        <w:spacing w:before="93"/>
      </w:pPr>
      <w:r>
        <w:rPr>
          <w:rFonts w:hint="eastAsia"/>
        </w:rPr>
        <w:drawing>
          <wp:inline distT="0" distB="0" distL="0" distR="0">
            <wp:extent cx="5257800" cy="1409700"/>
            <wp:effectExtent l="19050" t="0" r="190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jc w:val="center"/>
      </w:pPr>
      <w:r>
        <w:rPr>
          <w:rFonts w:hint="eastAsia" w:ascii="Times New Roman" w:cs="仿宋_GB2312"/>
          <w:sz w:val="32"/>
          <w:szCs w:val="32"/>
        </w:rPr>
        <w:t>图2：收入决算结构图</w:t>
      </w:r>
    </w:p>
    <w:p>
      <w:pPr>
        <w:spacing w:line="600" w:lineRule="exact"/>
        <w:ind w:left="64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三、支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cs="仿宋"/>
          <w:color w:val="000000"/>
          <w:sz w:val="32"/>
          <w:szCs w:val="32"/>
        </w:rPr>
      </w:pPr>
      <w:r>
        <w:rPr>
          <w:rFonts w:hint="eastAsia" w:eastAsia="仿宋_GB2312" w:cs="仿宋_GB2312"/>
          <w:sz w:val="32"/>
          <w:szCs w:val="32"/>
        </w:rPr>
        <w:t>2024年度本年支出合计</w:t>
      </w:r>
      <w:r>
        <w:rPr>
          <w:rFonts w:hint="eastAsia" w:ascii="仿宋" w:hAnsi="仿宋" w:eastAsia="仿宋" w:cs="仿宋"/>
          <w:color w:val="000000"/>
          <w:sz w:val="32"/>
          <w:szCs w:val="32"/>
        </w:rPr>
        <w:t>1436.22万元，</w:t>
      </w:r>
      <w:r>
        <w:rPr>
          <w:rFonts w:hint="eastAsia" w:eastAsia="仿宋_GB2312" w:cs="仿宋_GB2312"/>
          <w:sz w:val="32"/>
          <w:szCs w:val="32"/>
        </w:rPr>
        <w:t>其中：基本支出</w:t>
      </w:r>
      <w:r>
        <w:rPr>
          <w:rFonts w:hint="eastAsia" w:ascii="仿宋" w:hAnsi="仿宋" w:eastAsia="仿宋"/>
          <w:sz w:val="32"/>
          <w:szCs w:val="32"/>
        </w:rPr>
        <w:t>956.57万元，占66.6</w:t>
      </w:r>
      <w:r>
        <w:rPr>
          <w:rFonts w:ascii="仿宋" w:hAnsi="仿宋" w:eastAsia="仿宋"/>
          <w:sz w:val="32"/>
          <w:szCs w:val="32"/>
        </w:rPr>
        <w:t xml:space="preserve"> %</w:t>
      </w:r>
      <w:r>
        <w:rPr>
          <w:rFonts w:hint="eastAsia" w:ascii="仿宋" w:hAnsi="仿宋" w:eastAsia="仿宋"/>
          <w:sz w:val="32"/>
          <w:szCs w:val="32"/>
        </w:rPr>
        <w:t>；项目支出479.65万元，占33.4</w:t>
      </w:r>
      <w:r>
        <w:rPr>
          <w:rFonts w:ascii="仿宋" w:hAnsi="仿宋" w:eastAsia="仿宋"/>
          <w:sz w:val="32"/>
          <w:szCs w:val="32"/>
        </w:rPr>
        <w:t xml:space="preserve"> %</w:t>
      </w:r>
      <w:r>
        <w:rPr>
          <w:rFonts w:hint="eastAsia" w:ascii="仿宋" w:hAnsi="仿宋" w:eastAsia="仿宋"/>
          <w:sz w:val="32"/>
          <w:szCs w:val="32"/>
        </w:rPr>
        <w:t>。</w:t>
      </w:r>
    </w:p>
    <w:p>
      <w:pPr>
        <w:pStyle w:val="2"/>
        <w:spacing w:before="93"/>
        <w:ind w:left="600" w:hanging="600" w:hangingChars="200"/>
        <w:rPr>
          <w:rFonts w:ascii="黑体" w:hAnsi="黑体" w:eastAsia="黑体"/>
          <w:sz w:val="32"/>
          <w:szCs w:val="32"/>
        </w:rPr>
      </w:pPr>
      <w:r>
        <w:rPr>
          <w:rFonts w:hint="eastAsia"/>
        </w:rPr>
        <w:drawing>
          <wp:inline distT="0" distB="0" distL="0" distR="0">
            <wp:extent cx="5276850" cy="136207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24" w:name="_Toc15377208"/>
      <w:bookmarkStart w:id="25" w:name="_Toc15396606"/>
    </w:p>
    <w:p>
      <w:pPr>
        <w:pStyle w:val="2"/>
        <w:spacing w:before="93"/>
        <w:ind w:left="640" w:hanging="640" w:hangingChars="200"/>
        <w:jc w:val="center"/>
        <w:rPr>
          <w:rFonts w:ascii="Times New Roman" w:cs="仿宋_GB2312"/>
          <w:sz w:val="32"/>
          <w:szCs w:val="32"/>
        </w:rPr>
      </w:pPr>
      <w:r>
        <w:rPr>
          <w:rFonts w:hint="eastAsia" w:ascii="Times New Roman" w:cs="仿宋_GB2312"/>
          <w:sz w:val="32"/>
          <w:szCs w:val="32"/>
        </w:rPr>
        <w:t>图3：支出决算结构图</w:t>
      </w:r>
    </w:p>
    <w:p>
      <w:pPr>
        <w:pStyle w:val="2"/>
        <w:spacing w:before="93"/>
        <w:ind w:left="638" w:leftChars="304"/>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firstLineChars="200"/>
        <w:rPr>
          <w:rFonts w:ascii="仿宋" w:hAnsi="仿宋" w:eastAsia="仿宋"/>
          <w:sz w:val="32"/>
          <w:szCs w:val="32"/>
        </w:rPr>
      </w:pPr>
      <w:r>
        <w:rPr>
          <w:rFonts w:hint="eastAsia" w:eastAsia="仿宋_GB2312" w:cs="仿宋_GB2312"/>
          <w:sz w:val="32"/>
          <w:szCs w:val="32"/>
        </w:rPr>
        <w:t>2024年度财政拨款收入、支出总计均为</w:t>
      </w:r>
      <w:r>
        <w:rPr>
          <w:rFonts w:hint="eastAsia" w:ascii="仿宋" w:hAnsi="仿宋" w:eastAsia="仿宋" w:cs="仿宋"/>
          <w:color w:val="000000"/>
          <w:sz w:val="32"/>
          <w:szCs w:val="32"/>
        </w:rPr>
        <w:t>1436.22万元。</w:t>
      </w:r>
      <w:r>
        <w:rPr>
          <w:rFonts w:hint="eastAsia" w:eastAsia="仿宋_GB2312" w:cs="仿宋_GB2312"/>
          <w:sz w:val="32"/>
          <w:szCs w:val="32"/>
        </w:rPr>
        <w:t>与2023年度相比，财政拨款收入总计、支出总计各增加</w:t>
      </w:r>
      <w:r>
        <w:rPr>
          <w:rFonts w:hint="eastAsia" w:ascii="仿宋" w:hAnsi="仿宋" w:eastAsia="仿宋" w:cs="仿宋"/>
          <w:color w:val="000000"/>
          <w:sz w:val="32"/>
          <w:szCs w:val="32"/>
        </w:rPr>
        <w:t>153.93万元，增长12</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eastAsia="仿宋_GB2312" w:cs="仿宋_GB2312"/>
          <w:sz w:val="32"/>
          <w:szCs w:val="32"/>
        </w:rPr>
        <w:t>主要变动原因是</w:t>
      </w:r>
      <w:r>
        <w:rPr>
          <w:rFonts w:hint="eastAsia" w:ascii="仿宋" w:hAnsi="仿宋" w:eastAsia="仿宋" w:cs="仿宋"/>
          <w:color w:val="000000"/>
          <w:sz w:val="32"/>
          <w:szCs w:val="32"/>
        </w:rPr>
        <w:t>新增</w:t>
      </w:r>
      <w:r>
        <w:rPr>
          <w:rFonts w:hint="eastAsia" w:ascii="华文仿宋" w:hAnsi="华文仿宋" w:eastAsia="华文仿宋"/>
          <w:color w:val="000000"/>
          <w:sz w:val="32"/>
          <w:szCs w:val="32"/>
        </w:rPr>
        <w:t>数智人大综合服务平台建设、代表家站运行维护、主席团规范化建设</w:t>
      </w:r>
      <w:r>
        <w:rPr>
          <w:rFonts w:hint="eastAsia" w:ascii="仿宋" w:hAnsi="仿宋" w:eastAsia="仿宋" w:cs="仿宋"/>
          <w:color w:val="000000"/>
          <w:sz w:val="32"/>
          <w:szCs w:val="32"/>
        </w:rPr>
        <w:t>等支出。</w:t>
      </w:r>
    </w:p>
    <w:p>
      <w:pPr>
        <w:pStyle w:val="2"/>
        <w:spacing w:before="93"/>
        <w:jc w:val="center"/>
      </w:pPr>
      <w:r>
        <w:rPr>
          <w:rFonts w:hint="eastAsia"/>
        </w:rPr>
        <w:drawing>
          <wp:inline distT="0" distB="0" distL="0" distR="0">
            <wp:extent cx="5276850" cy="13335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ascii="Times New Roman" w:cs="仿宋_GB2312"/>
          <w:sz w:val="32"/>
          <w:szCs w:val="32"/>
        </w:rPr>
        <w:t>图4：财政拨款收、支决算总计变动情况(单位：万元)</w:t>
      </w:r>
    </w:p>
    <w:p>
      <w:pPr>
        <w:spacing w:line="600" w:lineRule="exact"/>
        <w:ind w:firstLine="640" w:firstLineChars="200"/>
        <w:outlineLvl w:val="1"/>
        <w:rPr>
          <w:rStyle w:val="29"/>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楷体" w:hAnsi="楷体" w:eastAsia="楷体"/>
          <w:b/>
          <w:sz w:val="32"/>
          <w:szCs w:val="32"/>
        </w:rPr>
      </w:pPr>
      <w:bookmarkStart w:id="28" w:name="_Toc15377210"/>
      <w:r>
        <w:rPr>
          <w:rFonts w:hint="eastAsia" w:ascii="楷体" w:hAnsi="楷体" w:eastAsia="楷体"/>
          <w:b/>
          <w:sz w:val="32"/>
          <w:szCs w:val="32"/>
        </w:rPr>
        <w:t>（一）一般公共预算财政拨款支出决算总体情况</w:t>
      </w:r>
      <w:bookmarkEnd w:id="28"/>
    </w:p>
    <w:p>
      <w:pPr>
        <w:spacing w:line="600" w:lineRule="exact"/>
        <w:ind w:firstLine="640" w:firstLineChars="200"/>
        <w:rPr>
          <w:rFonts w:ascii="仿宋" w:hAnsi="仿宋" w:eastAsia="仿宋" w:cs="仿宋"/>
          <w:color w:val="000000"/>
          <w:sz w:val="32"/>
          <w:szCs w:val="32"/>
        </w:rPr>
      </w:pPr>
      <w:r>
        <w:rPr>
          <w:rFonts w:hint="eastAsia" w:eastAsia="仿宋_GB2312" w:cs="仿宋_GB2312"/>
          <w:sz w:val="32"/>
          <w:szCs w:val="32"/>
        </w:rPr>
        <w:t>2024年度一般公共预算财政拨款支出</w:t>
      </w:r>
      <w:r>
        <w:rPr>
          <w:rFonts w:hint="eastAsia" w:ascii="仿宋" w:hAnsi="仿宋" w:eastAsia="仿宋" w:cs="仿宋"/>
          <w:color w:val="000000"/>
          <w:sz w:val="32"/>
          <w:szCs w:val="32"/>
        </w:rPr>
        <w:t>1436.22万元，</w:t>
      </w:r>
      <w:r>
        <w:rPr>
          <w:rFonts w:hint="eastAsia" w:eastAsia="仿宋_GB2312" w:cs="仿宋_GB2312"/>
          <w:sz w:val="32"/>
          <w:szCs w:val="32"/>
        </w:rPr>
        <w:t>占本年支出合计的</w:t>
      </w:r>
      <w:r>
        <w:rPr>
          <w:rFonts w:hint="eastAsia" w:ascii="仿宋" w:hAnsi="仿宋" w:eastAsia="仿宋" w:cs="仿宋"/>
          <w:color w:val="000000"/>
          <w:sz w:val="32"/>
          <w:szCs w:val="32"/>
        </w:rPr>
        <w:t>100</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eastAsia="仿宋_GB2312" w:cs="仿宋_GB2312"/>
          <w:sz w:val="32"/>
          <w:szCs w:val="32"/>
        </w:rPr>
        <w:t>与2023年度相比，一般公共预算财政拨款支出增加</w:t>
      </w:r>
      <w:r>
        <w:rPr>
          <w:rFonts w:hint="eastAsia" w:ascii="仿宋" w:hAnsi="仿宋" w:eastAsia="仿宋" w:cs="仿宋"/>
          <w:color w:val="000000"/>
          <w:sz w:val="32"/>
          <w:szCs w:val="32"/>
        </w:rPr>
        <w:t>153.93万元，增长12</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。主要变动原因是新增</w:t>
      </w:r>
      <w:r>
        <w:rPr>
          <w:rFonts w:hint="eastAsia" w:ascii="华文仿宋" w:hAnsi="华文仿宋" w:eastAsia="华文仿宋"/>
          <w:color w:val="000000"/>
          <w:sz w:val="32"/>
          <w:szCs w:val="32"/>
        </w:rPr>
        <w:t>数智人大综合服务平台建设、代表家站运行维护、主席团规范化建设</w:t>
      </w:r>
      <w:r>
        <w:rPr>
          <w:rFonts w:hint="eastAsia" w:ascii="仿宋" w:hAnsi="仿宋" w:eastAsia="仿宋" w:cs="仿宋"/>
          <w:color w:val="000000"/>
          <w:sz w:val="32"/>
          <w:szCs w:val="32"/>
        </w:rPr>
        <w:t>等支出。</w:t>
      </w:r>
    </w:p>
    <w:p>
      <w:pPr>
        <w:pStyle w:val="2"/>
        <w:spacing w:before="93"/>
        <w:jc w:val="center"/>
      </w:pPr>
      <w:r>
        <w:rPr>
          <w:rFonts w:hint="eastAsia"/>
        </w:rPr>
        <w:drawing>
          <wp:inline distT="0" distB="0" distL="0" distR="0">
            <wp:extent cx="5276850" cy="14478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Times New Roman" w:cs="仿宋_GB2312"/>
          <w:sz w:val="32"/>
          <w:szCs w:val="32"/>
        </w:rPr>
        <w:t>图5：一般公共预算财政拨款支出决算变动情况(单位：万元)</w:t>
      </w:r>
    </w:p>
    <w:p>
      <w:pPr>
        <w:spacing w:line="600" w:lineRule="exact"/>
        <w:ind w:firstLine="642" w:firstLineChars="200"/>
        <w:outlineLvl w:val="2"/>
        <w:rPr>
          <w:rFonts w:ascii="楷体" w:hAnsi="楷体" w:eastAsia="楷体"/>
          <w:b/>
          <w:sz w:val="32"/>
          <w:szCs w:val="32"/>
        </w:rPr>
      </w:pPr>
      <w:bookmarkStart w:id="29" w:name="_Toc15377211"/>
      <w:r>
        <w:rPr>
          <w:rFonts w:hint="eastAsia" w:ascii="楷体" w:hAnsi="楷体" w:eastAsia="楷体"/>
          <w:b/>
          <w:sz w:val="32"/>
          <w:szCs w:val="32"/>
        </w:rPr>
        <w:t>（二）一般公共预算财政拨款支出决算结构情况</w:t>
      </w:r>
      <w:bookmarkEnd w:id="29"/>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 w:hAnsi="仿宋" w:eastAsia="仿宋" w:cs="仿宋"/>
          <w:color w:val="000000"/>
          <w:sz w:val="32"/>
          <w:szCs w:val="32"/>
        </w:rPr>
        <w:t>1436.22万元，</w:t>
      </w:r>
      <w:r>
        <w:rPr>
          <w:rFonts w:hint="eastAsia" w:eastAsia="仿宋_GB2312" w:cs="仿宋_GB2312"/>
          <w:sz w:val="32"/>
          <w:szCs w:val="32"/>
        </w:rPr>
        <w:t>主要用于以下方面：一般公共服务支出1189.02万元，</w:t>
      </w:r>
      <w:r>
        <w:rPr>
          <w:rFonts w:hint="eastAsia" w:ascii="仿宋" w:hAnsi="仿宋" w:eastAsia="仿宋" w:cs="仿宋"/>
          <w:color w:val="000000"/>
          <w:sz w:val="32"/>
          <w:szCs w:val="32"/>
        </w:rPr>
        <w:t>占</w:t>
      </w:r>
      <w:r>
        <w:rPr>
          <w:rFonts w:hint="eastAsia" w:eastAsia="仿宋_GB2312" w:cs="仿宋_GB2312"/>
          <w:sz w:val="32"/>
          <w:szCs w:val="32"/>
        </w:rPr>
        <w:t>82.79</w:t>
      </w:r>
      <w:r>
        <w:rPr>
          <w:rFonts w:eastAsia="仿宋_GB2312" w:cs="仿宋_GB2312"/>
          <w:sz w:val="32"/>
          <w:szCs w:val="32"/>
        </w:rPr>
        <w:t>%</w:t>
      </w:r>
      <w:r>
        <w:rPr>
          <w:rFonts w:hint="eastAsia" w:eastAsia="仿宋_GB2312" w:cs="仿宋_GB2312"/>
          <w:sz w:val="32"/>
          <w:szCs w:val="32"/>
        </w:rPr>
        <w:t>；社会保障和就业支出148.67万元，</w:t>
      </w:r>
      <w:r>
        <w:rPr>
          <w:rFonts w:hint="eastAsia" w:ascii="仿宋" w:hAnsi="仿宋" w:eastAsia="仿宋" w:cs="仿宋"/>
          <w:color w:val="000000"/>
          <w:sz w:val="32"/>
          <w:szCs w:val="32"/>
        </w:rPr>
        <w:t>占</w:t>
      </w:r>
      <w:r>
        <w:rPr>
          <w:rFonts w:eastAsia="仿宋_GB2312" w:cs="仿宋_GB2312"/>
          <w:sz w:val="32"/>
          <w:szCs w:val="32"/>
        </w:rPr>
        <w:t>10.35%</w:t>
      </w:r>
      <w:r>
        <w:rPr>
          <w:rFonts w:hint="eastAsia" w:eastAsia="仿宋_GB2312" w:cs="仿宋_GB2312"/>
          <w:sz w:val="32"/>
          <w:szCs w:val="32"/>
        </w:rPr>
        <w:t>；卫生健康支出30.71万元，</w:t>
      </w:r>
      <w:r>
        <w:rPr>
          <w:rFonts w:hint="eastAsia" w:ascii="仿宋" w:hAnsi="仿宋" w:eastAsia="仿宋" w:cs="仿宋"/>
          <w:color w:val="000000"/>
          <w:sz w:val="32"/>
          <w:szCs w:val="32"/>
        </w:rPr>
        <w:t>占</w:t>
      </w:r>
      <w:r>
        <w:rPr>
          <w:rFonts w:eastAsia="仿宋_GB2312" w:cs="仿宋_GB2312"/>
          <w:sz w:val="32"/>
          <w:szCs w:val="32"/>
        </w:rPr>
        <w:t>2.14%</w:t>
      </w:r>
      <w:r>
        <w:rPr>
          <w:rFonts w:hint="eastAsia" w:eastAsia="仿宋_GB2312" w:cs="仿宋_GB2312"/>
          <w:sz w:val="32"/>
          <w:szCs w:val="32"/>
        </w:rPr>
        <w:t>；农林水支出1.21万元，</w:t>
      </w:r>
      <w:r>
        <w:rPr>
          <w:rFonts w:hint="eastAsia" w:ascii="仿宋" w:hAnsi="仿宋" w:eastAsia="仿宋" w:cs="仿宋"/>
          <w:color w:val="000000"/>
          <w:sz w:val="32"/>
          <w:szCs w:val="32"/>
        </w:rPr>
        <w:t>占</w:t>
      </w:r>
      <w:r>
        <w:rPr>
          <w:rFonts w:hint="eastAsia" w:eastAsia="仿宋_GB2312" w:cs="仿宋_GB2312"/>
          <w:sz w:val="32"/>
          <w:szCs w:val="32"/>
        </w:rPr>
        <w:t>0.08</w:t>
      </w:r>
      <w:r>
        <w:rPr>
          <w:rFonts w:eastAsia="仿宋_GB2312" w:cs="仿宋_GB2312"/>
          <w:sz w:val="32"/>
          <w:szCs w:val="32"/>
        </w:rPr>
        <w:t>%</w:t>
      </w:r>
      <w:r>
        <w:rPr>
          <w:rFonts w:hint="eastAsia" w:eastAsia="仿宋_GB2312" w:cs="仿宋_GB2312"/>
          <w:sz w:val="32"/>
          <w:szCs w:val="32"/>
        </w:rPr>
        <w:t>；住房保障支出66.61万元，</w:t>
      </w:r>
      <w:r>
        <w:rPr>
          <w:rFonts w:hint="eastAsia" w:ascii="仿宋" w:hAnsi="仿宋" w:eastAsia="仿宋" w:cs="仿宋"/>
          <w:color w:val="000000"/>
          <w:sz w:val="32"/>
          <w:szCs w:val="32"/>
        </w:rPr>
        <w:t>占</w:t>
      </w:r>
      <w:r>
        <w:rPr>
          <w:rFonts w:hint="eastAsia" w:eastAsia="仿宋_GB2312" w:cs="仿宋_GB2312"/>
          <w:sz w:val="32"/>
          <w:szCs w:val="32"/>
        </w:rPr>
        <w:t>4.64</w:t>
      </w:r>
      <w:r>
        <w:rPr>
          <w:rFonts w:eastAsia="仿宋_GB2312" w:cs="仿宋_GB2312"/>
          <w:sz w:val="32"/>
          <w:szCs w:val="32"/>
        </w:rPr>
        <w:t>%</w:t>
      </w:r>
      <w:r>
        <w:rPr>
          <w:rFonts w:hint="eastAsia" w:eastAsia="仿宋_GB2312" w:cs="仿宋_GB2312"/>
          <w:sz w:val="32"/>
          <w:szCs w:val="32"/>
        </w:rPr>
        <w:t>。</w:t>
      </w:r>
    </w:p>
    <w:p>
      <w:pPr>
        <w:pStyle w:val="2"/>
        <w:spacing w:before="93"/>
        <w:jc w:val="center"/>
      </w:pPr>
      <w:r>
        <w:rPr>
          <w:rFonts w:hint="eastAsia"/>
        </w:rPr>
        <w:drawing>
          <wp:inline distT="0" distB="0" distL="0" distR="0">
            <wp:extent cx="5274310" cy="172402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hAnsi="仿宋"/>
          <w:sz w:val="32"/>
          <w:szCs w:val="32"/>
        </w:rPr>
        <w:t>图6：一般公共预算财政拨款支出决算结构</w:t>
      </w:r>
    </w:p>
    <w:p>
      <w:pPr>
        <w:spacing w:line="600" w:lineRule="exact"/>
        <w:ind w:firstLine="642" w:firstLineChars="200"/>
        <w:outlineLvl w:val="2"/>
        <w:rPr>
          <w:rFonts w:ascii="楷体" w:hAnsi="楷体" w:eastAsia="楷体"/>
          <w:b/>
          <w:sz w:val="32"/>
          <w:szCs w:val="32"/>
        </w:rPr>
      </w:pPr>
      <w:bookmarkStart w:id="30" w:name="_Toc15377212"/>
      <w:r>
        <w:rPr>
          <w:rFonts w:hint="eastAsia" w:ascii="楷体" w:hAnsi="楷体" w:eastAsia="楷体"/>
          <w:b/>
          <w:sz w:val="32"/>
          <w:szCs w:val="32"/>
        </w:rPr>
        <w:t>（三）一般公共预算财政拨款支出决算具体情况</w:t>
      </w:r>
      <w:bookmarkEnd w:id="30"/>
    </w:p>
    <w:p>
      <w:pPr>
        <w:spacing w:line="600" w:lineRule="exact"/>
        <w:ind w:firstLine="640" w:firstLineChars="200"/>
        <w:outlineLvl w:val="2"/>
        <w:rPr>
          <w:rFonts w:eastAsia="仿宋_GB2312" w:cs="仿宋_GB2312"/>
          <w:sz w:val="32"/>
          <w:szCs w:val="32"/>
        </w:rPr>
      </w:pPr>
      <w:r>
        <w:rPr>
          <w:rFonts w:hint="eastAsia" w:eastAsia="仿宋_GB2312" w:cs="仿宋_GB2312"/>
          <w:sz w:val="32"/>
          <w:szCs w:val="32"/>
        </w:rPr>
        <w:t>2024年度一般公共预算财政拨款支出决算数为1436.22万元，</w:t>
      </w:r>
      <w:r>
        <w:rPr>
          <w:rStyle w:val="17"/>
          <w:rFonts w:hint="eastAsia" w:ascii="仿宋" w:hAnsi="仿宋" w:eastAsia="仿宋" w:cs="仿宋"/>
          <w:b w:val="0"/>
          <w:color w:val="000000"/>
          <w:sz w:val="32"/>
          <w:szCs w:val="32"/>
        </w:rPr>
        <w:t>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r>
        <w:rPr>
          <w:rFonts w:hint="eastAsia" w:eastAsia="仿宋_GB2312" w:cs="仿宋_GB2312"/>
          <w:sz w:val="32"/>
          <w:szCs w:val="32"/>
        </w:rPr>
        <w:t>其中：</w:t>
      </w:r>
    </w:p>
    <w:p>
      <w:pPr>
        <w:spacing w:line="600" w:lineRule="exact"/>
        <w:ind w:firstLine="640" w:firstLineChars="200"/>
        <w:rPr>
          <w:rFonts w:ascii="仿宋" w:hAnsi="仿宋" w:eastAsia="仿宋"/>
          <w:bCs/>
          <w:color w:val="000000"/>
          <w:sz w:val="32"/>
          <w:szCs w:val="32"/>
        </w:rPr>
      </w:pPr>
      <w:r>
        <w:rPr>
          <w:rStyle w:val="17"/>
          <w:rFonts w:ascii="仿宋" w:hAnsi="仿宋" w:eastAsia="仿宋" w:cs="仿宋"/>
          <w:b w:val="0"/>
          <w:color w:val="000000"/>
          <w:sz w:val="32"/>
          <w:szCs w:val="32"/>
        </w:rPr>
        <w:t>1.</w:t>
      </w:r>
      <w:r>
        <w:rPr>
          <w:rStyle w:val="17"/>
          <w:rFonts w:hint="eastAsia" w:ascii="仿宋" w:hAnsi="仿宋" w:eastAsia="仿宋" w:cs="仿宋"/>
          <w:b w:val="0"/>
          <w:color w:val="000000"/>
          <w:sz w:val="32"/>
          <w:szCs w:val="32"/>
        </w:rPr>
        <w:t>一般公共服务（类）人大事务（款）行政运行（项）</w:t>
      </w:r>
      <w:r>
        <w:rPr>
          <w:rStyle w:val="17"/>
          <w:rFonts w:ascii="仿宋" w:hAnsi="仿宋" w:eastAsia="仿宋" w:cs="仿宋"/>
          <w:b w:val="0"/>
          <w:color w:val="000000"/>
          <w:sz w:val="32"/>
          <w:szCs w:val="32"/>
        </w:rPr>
        <w:t xml:space="preserve">: </w:t>
      </w:r>
      <w:r>
        <w:rPr>
          <w:rStyle w:val="17"/>
          <w:rFonts w:hint="eastAsia" w:ascii="仿宋" w:hAnsi="仿宋" w:eastAsia="仿宋" w:cs="仿宋"/>
          <w:b w:val="0"/>
          <w:color w:val="000000"/>
          <w:sz w:val="32"/>
          <w:szCs w:val="32"/>
        </w:rPr>
        <w:t>支出决算为695.05万元，完成预算100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cs="仿宋"/>
          <w:b w:val="0"/>
          <w:bCs/>
        </w:rPr>
      </w:pPr>
      <w:r>
        <w:rPr>
          <w:rStyle w:val="17"/>
          <w:rFonts w:ascii="仿宋" w:hAnsi="仿宋" w:eastAsia="仿宋" w:cs="仿宋"/>
          <w:b w:val="0"/>
          <w:color w:val="000000"/>
          <w:sz w:val="32"/>
          <w:szCs w:val="32"/>
        </w:rPr>
        <w:t>2.</w:t>
      </w:r>
      <w:r>
        <w:rPr>
          <w:rStyle w:val="17"/>
          <w:rFonts w:hint="eastAsia" w:ascii="仿宋" w:hAnsi="仿宋" w:eastAsia="仿宋" w:cs="仿宋"/>
          <w:b w:val="0"/>
          <w:color w:val="000000"/>
          <w:sz w:val="32"/>
          <w:szCs w:val="32"/>
        </w:rPr>
        <w:t>一般公共服务（类）人大事务（款）人大会议（项）</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支出决算为50万元，完成预算100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ascii="仿宋" w:hAnsi="仿宋" w:eastAsia="仿宋" w:cs="仿宋"/>
          <w:b w:val="0"/>
          <w:color w:val="000000"/>
          <w:sz w:val="32"/>
          <w:szCs w:val="32"/>
        </w:rPr>
      </w:pPr>
      <w:r>
        <w:rPr>
          <w:rStyle w:val="17"/>
          <w:rFonts w:hint="eastAsia" w:ascii="仿宋" w:hAnsi="仿宋" w:eastAsia="仿宋" w:cs="仿宋"/>
          <w:b w:val="0"/>
          <w:color w:val="000000"/>
          <w:sz w:val="32"/>
          <w:szCs w:val="32"/>
        </w:rPr>
        <w:t>3</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一般公共服务（类）人大事务（款）人大监督（项）</w:t>
      </w:r>
      <w:r>
        <w:rPr>
          <w:rStyle w:val="17"/>
          <w:rFonts w:ascii="仿宋" w:hAnsi="仿宋" w:eastAsia="仿宋" w:cs="仿宋"/>
          <w:b w:val="0"/>
          <w:color w:val="000000"/>
          <w:sz w:val="32"/>
          <w:szCs w:val="32"/>
        </w:rPr>
        <w:t xml:space="preserve">: </w:t>
      </w:r>
      <w:r>
        <w:rPr>
          <w:rStyle w:val="17"/>
          <w:rFonts w:hint="eastAsia" w:ascii="仿宋" w:hAnsi="仿宋" w:eastAsia="仿宋" w:cs="仿宋"/>
          <w:b w:val="0"/>
          <w:color w:val="000000"/>
          <w:sz w:val="32"/>
          <w:szCs w:val="32"/>
        </w:rPr>
        <w:t>支出决算为33.56万元，完成预算100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cs="仿宋"/>
          <w:b w:val="0"/>
          <w:bCs/>
        </w:rPr>
      </w:pPr>
      <w:r>
        <w:rPr>
          <w:rStyle w:val="17"/>
          <w:rFonts w:hint="eastAsia" w:ascii="仿宋" w:hAnsi="仿宋" w:eastAsia="仿宋" w:cs="仿宋"/>
          <w:b w:val="0"/>
          <w:color w:val="000000"/>
          <w:sz w:val="32"/>
          <w:szCs w:val="32"/>
        </w:rPr>
        <w:t>4</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一般公共服务（类）人大事务（款）人大代表履职能力提升（项）</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支出决算为148.3万元，完成预算100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cs="仿宋"/>
          <w:b w:val="0"/>
          <w:bCs/>
        </w:rPr>
      </w:pPr>
      <w:r>
        <w:rPr>
          <w:rStyle w:val="17"/>
          <w:rFonts w:hint="eastAsia" w:ascii="仿宋" w:hAnsi="仿宋" w:eastAsia="仿宋" w:cs="仿宋"/>
          <w:b w:val="0"/>
          <w:color w:val="000000"/>
          <w:sz w:val="32"/>
          <w:szCs w:val="32"/>
        </w:rPr>
        <w:t>5</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 xml:space="preserve"> 一般公共服务（类）人大事务（款）事业运行（项）</w:t>
      </w:r>
      <w:r>
        <w:rPr>
          <w:rStyle w:val="17"/>
          <w:rFonts w:ascii="仿宋" w:hAnsi="仿宋" w:eastAsia="仿宋" w:cs="仿宋"/>
          <w:b w:val="0"/>
          <w:color w:val="000000"/>
          <w:sz w:val="32"/>
          <w:szCs w:val="32"/>
        </w:rPr>
        <w:t xml:space="preserve">: </w:t>
      </w:r>
      <w:r>
        <w:rPr>
          <w:rStyle w:val="17"/>
          <w:rFonts w:hint="eastAsia" w:ascii="仿宋" w:hAnsi="仿宋" w:eastAsia="仿宋" w:cs="仿宋"/>
          <w:b w:val="0"/>
          <w:color w:val="000000"/>
          <w:sz w:val="32"/>
          <w:szCs w:val="32"/>
        </w:rPr>
        <w:t>支出决算为14.32万元，完成预算100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ascii="仿宋" w:hAnsi="仿宋" w:eastAsia="仿宋" w:cs="仿宋"/>
          <w:b w:val="0"/>
          <w:color w:val="000000"/>
          <w:sz w:val="32"/>
          <w:szCs w:val="32"/>
        </w:rPr>
      </w:pPr>
      <w:r>
        <w:rPr>
          <w:rStyle w:val="17"/>
          <w:rFonts w:hint="eastAsia" w:ascii="仿宋" w:hAnsi="仿宋" w:eastAsia="仿宋" w:cs="仿宋"/>
          <w:b w:val="0"/>
          <w:color w:val="000000"/>
          <w:sz w:val="32"/>
          <w:szCs w:val="32"/>
        </w:rPr>
        <w:t>6</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一般公共服务（类）人大事务（款）其他人大事务支出（项）</w:t>
      </w:r>
      <w:r>
        <w:rPr>
          <w:rStyle w:val="17"/>
          <w:rFonts w:ascii="仿宋" w:hAnsi="仿宋" w:eastAsia="仿宋" w:cs="仿宋"/>
          <w:b w:val="0"/>
          <w:color w:val="000000"/>
          <w:sz w:val="32"/>
          <w:szCs w:val="32"/>
        </w:rPr>
        <w:t xml:space="preserve">: </w:t>
      </w:r>
      <w:r>
        <w:rPr>
          <w:rStyle w:val="17"/>
          <w:rFonts w:hint="eastAsia" w:ascii="仿宋" w:hAnsi="仿宋" w:eastAsia="仿宋" w:cs="仿宋"/>
          <w:b w:val="0"/>
          <w:color w:val="000000"/>
          <w:sz w:val="32"/>
          <w:szCs w:val="32"/>
        </w:rPr>
        <w:t>支出决算为247.79万元，完成预算100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ascii="仿宋" w:hAnsi="仿宋" w:eastAsia="仿宋" w:cs="仿宋"/>
          <w:b w:val="0"/>
          <w:color w:val="000000"/>
          <w:sz w:val="32"/>
          <w:szCs w:val="32"/>
        </w:rPr>
      </w:pPr>
      <w:r>
        <w:rPr>
          <w:rStyle w:val="17"/>
          <w:rFonts w:hint="eastAsia" w:ascii="仿宋" w:hAnsi="仿宋" w:eastAsia="仿宋" w:cs="仿宋"/>
          <w:b w:val="0"/>
          <w:color w:val="000000"/>
          <w:sz w:val="32"/>
          <w:szCs w:val="32"/>
        </w:rPr>
        <w:t>7.社会保障和就业（类）行政事业单位养老支出（款）行政单位离退休（项）</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支出决算为36.9万元，完成预算100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cs="仿宋"/>
          <w:b w:val="0"/>
          <w:bCs/>
        </w:rPr>
      </w:pPr>
      <w:r>
        <w:rPr>
          <w:rStyle w:val="17"/>
          <w:rFonts w:hint="eastAsia" w:ascii="仿宋" w:hAnsi="仿宋" w:eastAsia="仿宋" w:cs="仿宋"/>
          <w:b w:val="0"/>
          <w:color w:val="000000"/>
          <w:sz w:val="32"/>
          <w:szCs w:val="32"/>
        </w:rPr>
        <w:t>8.社会保障和就业（类）行政事业单位养老支出（款）机关事业单位基本养老保险缴费支出（项）</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支出决算为75.82万元，完成预算100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cs="仿宋"/>
          <w:b w:val="0"/>
          <w:bCs/>
        </w:rPr>
      </w:pPr>
      <w:r>
        <w:rPr>
          <w:rStyle w:val="17"/>
          <w:rFonts w:hint="eastAsia" w:ascii="仿宋" w:hAnsi="仿宋" w:eastAsia="仿宋" w:cs="仿宋"/>
          <w:b w:val="0"/>
          <w:color w:val="000000"/>
          <w:sz w:val="32"/>
          <w:szCs w:val="32"/>
        </w:rPr>
        <w:t>9.社会保障和就业（类）行政事业单位养老支出（款）机关事业单位职业年金缴费支出（项）</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支出决算为35.95万元，完成预算100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ascii="仿宋" w:hAnsi="仿宋" w:eastAsia="仿宋" w:cs="仿宋"/>
          <w:b w:val="0"/>
          <w:color w:val="000000"/>
          <w:sz w:val="32"/>
          <w:szCs w:val="32"/>
        </w:rPr>
      </w:pPr>
      <w:r>
        <w:rPr>
          <w:rStyle w:val="17"/>
          <w:rFonts w:hint="eastAsia" w:ascii="仿宋" w:hAnsi="仿宋" w:eastAsia="仿宋" w:cs="仿宋"/>
          <w:b w:val="0"/>
          <w:color w:val="000000"/>
          <w:sz w:val="32"/>
          <w:szCs w:val="32"/>
        </w:rPr>
        <w:t>10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卫生健康支出（类）行政事业单位医疗（款）行政单位医疗（项）</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支出决算为22.96万元，完成预算100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ascii="仿宋" w:hAnsi="仿宋" w:eastAsia="仿宋" w:cs="仿宋"/>
          <w:b w:val="0"/>
          <w:color w:val="000000"/>
          <w:sz w:val="32"/>
          <w:szCs w:val="32"/>
        </w:rPr>
      </w:pPr>
      <w:r>
        <w:rPr>
          <w:rStyle w:val="17"/>
          <w:rFonts w:hint="eastAsia" w:ascii="仿宋" w:hAnsi="仿宋" w:eastAsia="仿宋" w:cs="仿宋"/>
          <w:b w:val="0"/>
          <w:color w:val="000000"/>
          <w:sz w:val="32"/>
          <w:szCs w:val="32"/>
        </w:rPr>
        <w:t>11.卫生健康支出（类）行政事业单位医疗（款）事业单位医疗（项）</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支出决算为0.62万元，完成预算100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cs="仿宋"/>
          <w:b w:val="0"/>
          <w:bCs/>
        </w:rPr>
      </w:pPr>
      <w:r>
        <w:rPr>
          <w:rStyle w:val="17"/>
          <w:rFonts w:hint="eastAsia" w:ascii="仿宋" w:hAnsi="仿宋" w:eastAsia="仿宋" w:cs="仿宋"/>
          <w:b w:val="0"/>
          <w:color w:val="000000"/>
          <w:sz w:val="32"/>
          <w:szCs w:val="32"/>
        </w:rPr>
        <w:t>12.卫生健康支出（类）行政事业单位医疗（款）公务员医疗补助（项）</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支出决算为7.01万元，完成预算100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cs="仿宋"/>
          <w:b w:val="0"/>
          <w:bCs/>
        </w:rPr>
      </w:pPr>
      <w:r>
        <w:rPr>
          <w:rStyle w:val="17"/>
          <w:rFonts w:hint="eastAsia" w:ascii="仿宋" w:hAnsi="仿宋" w:eastAsia="仿宋" w:cs="仿宋"/>
          <w:b w:val="0"/>
          <w:color w:val="000000"/>
          <w:sz w:val="32"/>
          <w:szCs w:val="32"/>
        </w:rPr>
        <w:t>13. 卫生健康支出（类）行政事业单位医疗（款）其他行政事业单位医疗支出（项）</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支出决算为0.12万元，完成预算100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Style w:val="17"/>
          <w:rFonts w:ascii="仿宋" w:hAnsi="仿宋" w:eastAsia="仿宋" w:cs="仿宋"/>
          <w:b w:val="0"/>
          <w:color w:val="000000"/>
          <w:sz w:val="32"/>
          <w:szCs w:val="32"/>
        </w:rPr>
      </w:pPr>
      <w:r>
        <w:rPr>
          <w:rStyle w:val="17"/>
          <w:rFonts w:hint="eastAsia" w:ascii="仿宋" w:hAnsi="仿宋" w:eastAsia="仿宋" w:cs="仿宋"/>
          <w:b w:val="0"/>
          <w:color w:val="000000"/>
          <w:sz w:val="32"/>
          <w:szCs w:val="32"/>
        </w:rPr>
        <w:t>14.农林水支出（类）巩固脱贫衔接乡村振兴（款）其他巩固脱贫衔接乡村振兴支出（项）:支出决算为1.21万元，完成预算100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spacing w:line="600" w:lineRule="exact"/>
        <w:ind w:firstLine="640" w:firstLineChars="200"/>
        <w:rPr>
          <w:rFonts w:ascii="仿宋" w:hAnsi="仿宋" w:eastAsia="仿宋"/>
          <w:sz w:val="32"/>
          <w:szCs w:val="32"/>
        </w:rPr>
      </w:pPr>
      <w:r>
        <w:rPr>
          <w:rStyle w:val="17"/>
          <w:rFonts w:hint="eastAsia" w:ascii="仿宋" w:hAnsi="仿宋" w:eastAsia="仿宋" w:cs="仿宋"/>
          <w:b w:val="0"/>
          <w:color w:val="000000"/>
          <w:sz w:val="32"/>
          <w:szCs w:val="32"/>
        </w:rPr>
        <w:t>15.住房保障支出（类）住房改革支出（款）住房公积金（项）:支出决算为66.61万元，完成预算100</w:t>
      </w:r>
      <w:r>
        <w:rPr>
          <w:rStyle w:val="17"/>
          <w:rFonts w:ascii="仿宋" w:hAnsi="仿宋" w:eastAsia="仿宋" w:cs="仿宋"/>
          <w:b w:val="0"/>
          <w:color w:val="000000"/>
          <w:sz w:val="32"/>
          <w:szCs w:val="32"/>
        </w:rPr>
        <w:t>%</w:t>
      </w:r>
      <w:r>
        <w:rPr>
          <w:rStyle w:val="17"/>
          <w:rFonts w:hint="eastAsia" w:ascii="仿宋" w:hAnsi="仿宋" w:eastAsia="仿宋" w:cs="仿宋"/>
          <w:b w:val="0"/>
          <w:color w:val="000000"/>
          <w:sz w:val="32"/>
          <w:szCs w:val="32"/>
        </w:rPr>
        <w:t>。</w:t>
      </w:r>
    </w:p>
    <w:p>
      <w:pPr>
        <w:tabs>
          <w:tab w:val="right" w:pos="8306"/>
        </w:tabs>
        <w:spacing w:line="600" w:lineRule="exact"/>
        <w:ind w:firstLine="640"/>
        <w:outlineLvl w:val="1"/>
        <w:rPr>
          <w:rStyle w:val="29"/>
        </w:rPr>
      </w:pPr>
      <w:bookmarkStart w:id="31" w:name="_Toc15396608"/>
      <w:bookmarkStart w:id="32"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1"/>
      <w:bookmarkEnd w:id="32"/>
      <w:r>
        <w:rPr>
          <w:rStyle w:val="29"/>
          <w:rFonts w:ascii="黑体" w:hAnsi="黑体" w:eastAsia="黑体"/>
          <w:b w:val="0"/>
        </w:rPr>
        <w:tab/>
      </w:r>
    </w:p>
    <w:p>
      <w:pPr>
        <w:spacing w:line="600" w:lineRule="exact"/>
        <w:ind w:firstLine="645"/>
        <w:rPr>
          <w:rFonts w:ascii="仿宋" w:hAnsi="仿宋" w:eastAsia="仿宋"/>
          <w:color w:val="000000"/>
          <w:sz w:val="32"/>
          <w:szCs w:val="32"/>
        </w:rPr>
      </w:pPr>
      <w:r>
        <w:rPr>
          <w:rFonts w:hint="eastAsia" w:eastAsia="仿宋_GB2312" w:cs="仿宋_GB2312"/>
          <w:sz w:val="32"/>
          <w:szCs w:val="32"/>
        </w:rPr>
        <w:t>2024年度一般公共预算财政拨款基本支出</w:t>
      </w:r>
      <w:r>
        <w:rPr>
          <w:rFonts w:ascii="仿宋" w:hAnsi="仿宋" w:eastAsia="仿宋" w:cs="仿宋"/>
          <w:color w:val="000000"/>
          <w:sz w:val="32"/>
          <w:szCs w:val="32"/>
        </w:rPr>
        <w:t>956.57</w:t>
      </w:r>
      <w:r>
        <w:rPr>
          <w:rFonts w:hint="eastAsia" w:ascii="仿宋" w:hAnsi="仿宋" w:eastAsia="仿宋" w:cs="仿宋"/>
          <w:color w:val="000000"/>
          <w:sz w:val="32"/>
          <w:szCs w:val="32"/>
        </w:rPr>
        <w:t>万元，其中：</w:t>
      </w:r>
    </w:p>
    <w:p>
      <w:pPr>
        <w:spacing w:line="60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人员经费857.61万元，主要包括：基本工资、津贴补贴、奖金、绩效工资、机关事业单位基本养老保险缴费、职业年金缴费、职工基本医疗保险缴费、公务员医疗补助缴费、其他社会保障缴费、住房公积金、其他工资福利支出、离休费、抚恤金、生活补助、医疗费补助、奖励金、其他对个人和家庭的补助。</w:t>
      </w:r>
    </w:p>
    <w:p>
      <w:pPr>
        <w:spacing w:line="600" w:lineRule="exact"/>
        <w:ind w:firstLine="645"/>
        <w:rPr>
          <w:rFonts w:ascii="仿宋" w:hAnsi="仿宋" w:eastAsia="仿宋"/>
          <w:b/>
          <w:sz w:val="32"/>
          <w:szCs w:val="32"/>
        </w:rPr>
      </w:pPr>
      <w:r>
        <w:rPr>
          <w:rFonts w:hint="eastAsia" w:ascii="仿宋" w:hAnsi="仿宋" w:eastAsia="仿宋" w:cs="仿宋"/>
          <w:color w:val="000000"/>
          <w:sz w:val="32"/>
          <w:szCs w:val="32"/>
        </w:rPr>
        <w:t>公用经费98.96万元，主要包括：办公费、水费、电费、公务接待费、工会经费、福利费、其他交通费、其他商品和服务支出。</w:t>
      </w:r>
    </w:p>
    <w:p>
      <w:pPr>
        <w:spacing w:line="600" w:lineRule="exact"/>
        <w:ind w:firstLine="640"/>
        <w:outlineLvl w:val="1"/>
        <w:rPr>
          <w:rStyle w:val="29"/>
          <w:rFonts w:ascii="黑体" w:hAnsi="黑体" w:eastAsia="黑体"/>
          <w:b w:val="0"/>
        </w:rPr>
      </w:pPr>
      <w:bookmarkStart w:id="33" w:name="_Toc15377215"/>
      <w:bookmarkStart w:id="34"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3"/>
      <w:bookmarkEnd w:id="34"/>
    </w:p>
    <w:p>
      <w:pPr>
        <w:spacing w:line="600" w:lineRule="exact"/>
        <w:ind w:firstLine="640"/>
        <w:outlineLvl w:val="2"/>
        <w:rPr>
          <w:rFonts w:ascii="楷体" w:hAnsi="楷体" w:eastAsia="楷体"/>
          <w:b/>
          <w:sz w:val="32"/>
          <w:szCs w:val="32"/>
        </w:rPr>
      </w:pPr>
      <w:bookmarkStart w:id="35" w:name="_Toc15377216"/>
      <w:r>
        <w:rPr>
          <w:rFonts w:hint="eastAsia" w:ascii="楷体" w:hAnsi="楷体" w:eastAsia="楷体"/>
          <w:b/>
          <w:sz w:val="32"/>
          <w:szCs w:val="32"/>
        </w:rPr>
        <w:t>（一）财政拨款“三公”经费支出决算总体情况说明</w:t>
      </w:r>
      <w:bookmarkEnd w:id="35"/>
    </w:p>
    <w:p>
      <w:pPr>
        <w:spacing w:line="600" w:lineRule="exact"/>
        <w:ind w:firstLine="640"/>
        <w:rPr>
          <w:rFonts w:ascii="仿宋" w:hAnsi="仿宋" w:eastAsia="仿宋"/>
          <w:color w:val="000000"/>
          <w:sz w:val="32"/>
          <w:szCs w:val="32"/>
        </w:rPr>
      </w:pPr>
      <w:bookmarkStart w:id="36" w:name="_Toc15377217"/>
      <w:r>
        <w:rPr>
          <w:rFonts w:ascii="仿宋" w:hAnsi="仿宋" w:eastAsia="仿宋" w:cs="仿宋"/>
          <w:color w:val="000000"/>
          <w:sz w:val="32"/>
          <w:szCs w:val="32"/>
        </w:rPr>
        <w:t>2024</w:t>
      </w:r>
      <w:r>
        <w:rPr>
          <w:rFonts w:hint="eastAsia" w:ascii="仿宋" w:hAnsi="仿宋" w:eastAsia="仿宋" w:cs="仿宋"/>
          <w:color w:val="000000"/>
          <w:sz w:val="32"/>
          <w:szCs w:val="32"/>
        </w:rPr>
        <w:t>年财政拨款“三公”经费支出决算为1.77万元，完成预算100</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sz w:val="32"/>
          <w:szCs w:val="32"/>
        </w:rPr>
        <w:t>较上年度</w:t>
      </w:r>
      <w:r>
        <w:rPr>
          <w:rFonts w:hint="eastAsia" w:ascii="仿宋" w:hAnsi="仿宋" w:eastAsia="仿宋" w:cs="仿宋"/>
          <w:color w:val="000000"/>
          <w:sz w:val="32"/>
          <w:szCs w:val="32"/>
        </w:rPr>
        <w:t>增加0.73</w:t>
      </w:r>
      <w:r>
        <w:rPr>
          <w:rFonts w:hint="eastAsia" w:ascii="仿宋" w:hAnsi="仿宋" w:eastAsia="仿宋"/>
          <w:sz w:val="32"/>
          <w:szCs w:val="32"/>
        </w:rPr>
        <w:t>万元，</w:t>
      </w:r>
      <w:r>
        <w:rPr>
          <w:rFonts w:hint="eastAsia" w:ascii="仿宋" w:hAnsi="仿宋" w:eastAsia="仿宋" w:cs="仿宋"/>
          <w:color w:val="000000"/>
          <w:sz w:val="32"/>
          <w:szCs w:val="32"/>
        </w:rPr>
        <w:t>增长70.59</w:t>
      </w:r>
      <w:r>
        <w:rPr>
          <w:rFonts w:ascii="仿宋" w:hAnsi="仿宋" w:eastAsia="仿宋" w:cs="仿宋"/>
          <w:color w:val="000000"/>
          <w:sz w:val="32"/>
          <w:szCs w:val="32"/>
        </w:rPr>
        <w:t>%</w:t>
      </w:r>
      <w:r>
        <w:rPr>
          <w:rFonts w:hint="eastAsia" w:ascii="仿宋" w:hAnsi="仿宋" w:eastAsia="仿宋"/>
          <w:sz w:val="32"/>
          <w:szCs w:val="32"/>
        </w:rPr>
        <w:t>。</w:t>
      </w:r>
      <w:r>
        <w:rPr>
          <w:rFonts w:hint="eastAsia" w:eastAsia="仿宋_GB2312" w:cs="仿宋_GB2312"/>
          <w:sz w:val="32"/>
          <w:szCs w:val="32"/>
        </w:rPr>
        <w:t>决算数与预算数持平的主要原因是政府部门严格落实“过紧日子”要求，严格控制“三公”经费相关支出。</w:t>
      </w:r>
    </w:p>
    <w:p>
      <w:pPr>
        <w:spacing w:line="600" w:lineRule="exact"/>
        <w:ind w:firstLine="640"/>
        <w:outlineLvl w:val="2"/>
        <w:rPr>
          <w:rFonts w:ascii="楷体" w:hAnsi="楷体" w:eastAsia="楷体"/>
          <w:b/>
          <w:sz w:val="32"/>
          <w:szCs w:val="32"/>
        </w:rPr>
      </w:pPr>
      <w:r>
        <w:rPr>
          <w:rFonts w:hint="eastAsia" w:ascii="楷体" w:hAnsi="楷体" w:eastAsia="楷体"/>
          <w:b/>
          <w:sz w:val="32"/>
          <w:szCs w:val="32"/>
        </w:rPr>
        <w:t>（二）财政拨款“三公”经费支出决算具体情况说明</w:t>
      </w:r>
      <w:bookmarkEnd w:id="36"/>
    </w:p>
    <w:p>
      <w:pPr>
        <w:spacing w:line="600" w:lineRule="exact"/>
        <w:ind w:firstLine="640"/>
        <w:rPr>
          <w:rFonts w:ascii="仿宋" w:hAnsi="仿宋" w:eastAsia="仿宋" w:cs="仿宋"/>
          <w:color w:val="000000"/>
          <w:sz w:val="32"/>
          <w:szCs w:val="32"/>
        </w:rPr>
      </w:pPr>
      <w:bookmarkStart w:id="37" w:name="_Toc15396610"/>
      <w:bookmarkStart w:id="38" w:name="_Toc15377218"/>
      <w:r>
        <w:rPr>
          <w:rFonts w:ascii="仿宋" w:hAnsi="仿宋" w:eastAsia="仿宋" w:cs="仿宋"/>
          <w:color w:val="000000"/>
          <w:sz w:val="32"/>
          <w:szCs w:val="32"/>
        </w:rPr>
        <w:t>2024</w:t>
      </w:r>
      <w:r>
        <w:rPr>
          <w:rFonts w:hint="eastAsia" w:ascii="仿宋" w:hAnsi="仿宋" w:eastAsia="仿宋" w:cs="仿宋"/>
          <w:color w:val="000000"/>
          <w:sz w:val="32"/>
          <w:szCs w:val="32"/>
        </w:rPr>
        <w:t>年财政拨款“三公”经费支出决算中，因公出国（境）费支出决算0万元，占0%；公务用车购置及运行维护费支出决算0万元，占0</w:t>
      </w:r>
      <w:r>
        <w:rPr>
          <w:rFonts w:ascii="仿宋" w:hAnsi="仿宋" w:eastAsia="仿宋" w:cs="仿宋"/>
          <w:color w:val="000000"/>
          <w:sz w:val="32"/>
          <w:szCs w:val="32"/>
        </w:rPr>
        <w:t>%</w:t>
      </w:r>
      <w:r>
        <w:rPr>
          <w:rFonts w:hint="eastAsia" w:ascii="仿宋" w:hAnsi="仿宋" w:eastAsia="仿宋" w:cs="仿宋"/>
          <w:color w:val="000000"/>
          <w:sz w:val="32"/>
          <w:szCs w:val="32"/>
        </w:rPr>
        <w:t>；公务接待费支出决算1.77万元，占100</w:t>
      </w:r>
      <w:r>
        <w:rPr>
          <w:rFonts w:ascii="仿宋" w:hAnsi="仿宋" w:eastAsia="仿宋" w:cs="仿宋"/>
          <w:color w:val="000000"/>
          <w:sz w:val="32"/>
          <w:szCs w:val="32"/>
        </w:rPr>
        <w:t>%</w:t>
      </w:r>
      <w:r>
        <w:rPr>
          <w:rFonts w:hint="eastAsia" w:ascii="仿宋" w:hAnsi="仿宋" w:eastAsia="仿宋" w:cs="仿宋"/>
          <w:color w:val="000000"/>
          <w:sz w:val="32"/>
          <w:szCs w:val="32"/>
        </w:rPr>
        <w:t>。具体情况如下：</w:t>
      </w:r>
    </w:p>
    <w:p>
      <w:pPr>
        <w:pStyle w:val="2"/>
        <w:spacing w:before="93"/>
        <w:jc w:val="center"/>
      </w:pPr>
      <w:r>
        <w:drawing>
          <wp:inline distT="0" distB="0" distL="0" distR="0">
            <wp:extent cx="5276850" cy="184785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hAnsi="仿宋"/>
          <w:sz w:val="32"/>
          <w:szCs w:val="32"/>
        </w:rPr>
        <w:t>图7：“三公”经费财政拨款支出结构</w:t>
      </w:r>
    </w:p>
    <w:p>
      <w:pPr>
        <w:spacing w:line="600" w:lineRule="exact"/>
        <w:ind w:firstLine="640"/>
        <w:rPr>
          <w:rFonts w:ascii="仿宋" w:hAnsi="仿宋" w:eastAsia="仿宋" w:cs="仿宋"/>
          <w:color w:val="000000"/>
          <w:sz w:val="32"/>
          <w:szCs w:val="32"/>
        </w:rPr>
      </w:pPr>
      <w:r>
        <w:rPr>
          <w:rFonts w:ascii="仿宋_GB2312" w:eastAsia="仿宋_GB2312"/>
          <w:b/>
          <w:sz w:val="32"/>
          <w:szCs w:val="32"/>
        </w:rPr>
        <w:t>1.</w:t>
      </w:r>
      <w:r>
        <w:rPr>
          <w:rFonts w:hint="eastAsia" w:ascii="仿宋_GB2312" w:eastAsia="仿宋_GB2312"/>
          <w:b/>
          <w:sz w:val="32"/>
          <w:szCs w:val="32"/>
        </w:rPr>
        <w:t xml:space="preserve"> 因公出国（境）经费支出</w:t>
      </w:r>
      <w:r>
        <w:rPr>
          <w:rFonts w:ascii="仿宋_GB2312" w:eastAsia="仿宋_GB2312"/>
          <w:b/>
          <w:sz w:val="32"/>
          <w:szCs w:val="32"/>
        </w:rPr>
        <w:t>0</w:t>
      </w:r>
      <w:r>
        <w:rPr>
          <w:rFonts w:hint="eastAsia" w:ascii="仿宋_GB2312" w:eastAsia="仿宋_GB2312"/>
          <w:b/>
          <w:sz w:val="32"/>
          <w:szCs w:val="32"/>
        </w:rPr>
        <w:t>万元，完成预算0%。</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人，因公出国（境）支出决算较 2023 年无增减变化</w:t>
      </w:r>
      <w:r>
        <w:rPr>
          <w:rFonts w:hint="eastAsia" w:ascii="仿宋" w:hAnsi="仿宋" w:eastAsia="仿宋" w:cs="仿宋"/>
          <w:color w:val="000000"/>
          <w:sz w:val="32"/>
          <w:szCs w:val="32"/>
        </w:rPr>
        <w:t>。</w:t>
      </w:r>
    </w:p>
    <w:p>
      <w:pPr>
        <w:spacing w:line="600" w:lineRule="exact"/>
        <w:ind w:firstLine="640"/>
        <w:rPr>
          <w:rFonts w:ascii="仿宋" w:hAnsi="仿宋" w:eastAsia="仿宋" w:cs="仿宋"/>
          <w:color w:val="000000"/>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公务用车购置及运行维护费支出0万元，完成预算0%。</w:t>
      </w:r>
      <w:r>
        <w:rPr>
          <w:rFonts w:hint="eastAsia" w:ascii="仿宋_GB2312" w:eastAsia="仿宋_GB2312"/>
          <w:sz w:val="32"/>
          <w:szCs w:val="32"/>
        </w:rPr>
        <w:t>公务用车购置及运行维护费支出决算较 2023 年无增减变化</w:t>
      </w:r>
      <w:r>
        <w:rPr>
          <w:rFonts w:hint="eastAsia" w:ascii="仿宋" w:hAnsi="仿宋" w:eastAsia="仿宋" w:cs="仿宋"/>
          <w:color w:val="000000"/>
          <w:sz w:val="32"/>
          <w:szCs w:val="32"/>
        </w:rPr>
        <w:t>。</w:t>
      </w:r>
    </w:p>
    <w:p>
      <w:pPr>
        <w:spacing w:line="600" w:lineRule="exact"/>
        <w:ind w:firstLine="640"/>
        <w:rPr>
          <w:rFonts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公务用车购置支出0万元。全年按规定更新购置公务用车0辆。</w:t>
      </w:r>
      <w:r>
        <w:rPr>
          <w:rFonts w:hint="eastAsia" w:ascii="仿宋_GB2312" w:eastAsia="仿宋_GB2312"/>
          <w:sz w:val="32"/>
          <w:szCs w:val="32"/>
        </w:rPr>
        <w:t>截至2024年</w:t>
      </w:r>
      <w:r>
        <w:rPr>
          <w:rFonts w:ascii="仿宋_GB2312" w:eastAsia="仿宋_GB2312"/>
          <w:sz w:val="32"/>
          <w:szCs w:val="32"/>
        </w:rPr>
        <w:t>12</w:t>
      </w:r>
      <w:r>
        <w:rPr>
          <w:rFonts w:hint="eastAsia" w:ascii="仿宋_GB2312" w:eastAsia="仿宋_GB2312"/>
          <w:sz w:val="32"/>
          <w:szCs w:val="32"/>
        </w:rPr>
        <w:t>月31日，单位共有公务用车0辆。</w:t>
      </w:r>
    </w:p>
    <w:p>
      <w:pPr>
        <w:spacing w:line="600" w:lineRule="exact"/>
        <w:ind w:firstLine="640"/>
        <w:rPr>
          <w:rFonts w:ascii="仿宋" w:hAnsi="仿宋" w:eastAsia="仿宋" w:cs="仿宋"/>
          <w:color w:val="000000"/>
          <w:sz w:val="32"/>
          <w:szCs w:val="32"/>
        </w:rPr>
      </w:pPr>
      <w:r>
        <w:rPr>
          <w:rFonts w:hint="eastAsia" w:ascii="仿宋_GB2312" w:eastAsia="仿宋_GB2312"/>
          <w:b/>
          <w:sz w:val="32"/>
          <w:szCs w:val="32"/>
        </w:rPr>
        <w:t>公务用车运行维护费支出0万元。</w:t>
      </w:r>
    </w:p>
    <w:p>
      <w:pPr>
        <w:spacing w:line="600" w:lineRule="exact"/>
        <w:ind w:firstLine="642" w:firstLineChars="200"/>
        <w:rPr>
          <w:rFonts w:ascii="仿宋" w:hAnsi="仿宋" w:eastAsia="仿宋" w:cs="仿宋"/>
          <w:color w:val="000000"/>
          <w:sz w:val="32"/>
          <w:szCs w:val="32"/>
        </w:rPr>
      </w:pPr>
      <w:r>
        <w:rPr>
          <w:rFonts w:ascii="仿宋_GB2312" w:eastAsia="仿宋_GB2312"/>
          <w:b/>
          <w:sz w:val="32"/>
          <w:szCs w:val="32"/>
        </w:rPr>
        <w:t>3.</w:t>
      </w:r>
      <w:r>
        <w:rPr>
          <w:rFonts w:hint="eastAsia" w:ascii="仿宋_GB2312" w:eastAsia="仿宋_GB2312"/>
          <w:b/>
          <w:sz w:val="32"/>
          <w:szCs w:val="32"/>
        </w:rPr>
        <w:t>公务接待费支出1.77万元，</w:t>
      </w:r>
      <w:r>
        <w:rPr>
          <w:rFonts w:hint="eastAsia" w:ascii="仿宋_GB2312" w:eastAsia="仿宋_GB2312" w:cs="仿宋_GB2312"/>
          <w:bCs/>
          <w:color w:val="000000"/>
          <w:sz w:val="32"/>
          <w:szCs w:val="32"/>
        </w:rPr>
        <w:t>完成预算</w:t>
      </w:r>
      <w:r>
        <w:rPr>
          <w:rFonts w:hint="eastAsia" w:ascii="仿宋" w:hAnsi="仿宋" w:eastAsia="仿宋" w:cs="仿宋"/>
          <w:color w:val="000000"/>
          <w:sz w:val="32"/>
          <w:szCs w:val="32"/>
        </w:rPr>
        <w:t>100</w:t>
      </w:r>
      <w:r>
        <w:rPr>
          <w:rFonts w:ascii="仿宋_GB2312" w:eastAsia="仿宋_GB2312" w:cs="仿宋_GB2312"/>
          <w:bCs/>
          <w:color w:val="000000"/>
          <w:sz w:val="32"/>
          <w:szCs w:val="32"/>
        </w:rPr>
        <w:t>%</w:t>
      </w:r>
      <w:r>
        <w:rPr>
          <w:rFonts w:hint="eastAsia" w:ascii="仿宋_GB2312" w:eastAsia="仿宋_GB2312" w:cs="仿宋_GB2312"/>
          <w:bCs/>
          <w:color w:val="000000"/>
          <w:sz w:val="32"/>
          <w:szCs w:val="32"/>
        </w:rPr>
        <w:t>。</w:t>
      </w:r>
      <w:r>
        <w:rPr>
          <w:rFonts w:hint="eastAsia" w:ascii="仿宋" w:hAnsi="仿宋" w:eastAsia="仿宋" w:cs="仿宋"/>
          <w:color w:val="000000"/>
          <w:sz w:val="32"/>
          <w:szCs w:val="32"/>
        </w:rPr>
        <w:t>公务接待费支出决算比</w:t>
      </w:r>
      <w:r>
        <w:rPr>
          <w:rFonts w:ascii="仿宋" w:hAnsi="仿宋" w:eastAsia="仿宋" w:cs="仿宋"/>
          <w:color w:val="000000"/>
          <w:sz w:val="32"/>
          <w:szCs w:val="32"/>
        </w:rPr>
        <w:t>2023</w:t>
      </w:r>
      <w:r>
        <w:rPr>
          <w:rFonts w:hint="eastAsia" w:ascii="仿宋" w:hAnsi="仿宋" w:eastAsia="仿宋" w:cs="仿宋"/>
          <w:color w:val="000000"/>
          <w:sz w:val="32"/>
          <w:szCs w:val="32"/>
        </w:rPr>
        <w:t>年增加0.73</w:t>
      </w:r>
      <w:r>
        <w:rPr>
          <w:rFonts w:hint="eastAsia" w:ascii="仿宋" w:hAnsi="仿宋" w:eastAsia="仿宋"/>
          <w:sz w:val="32"/>
          <w:szCs w:val="32"/>
        </w:rPr>
        <w:t>万元，</w:t>
      </w:r>
      <w:r>
        <w:rPr>
          <w:rFonts w:hint="eastAsia" w:ascii="仿宋" w:hAnsi="仿宋" w:eastAsia="仿宋" w:cs="仿宋"/>
          <w:color w:val="000000"/>
          <w:sz w:val="32"/>
          <w:szCs w:val="32"/>
        </w:rPr>
        <w:t>增长70.59</w:t>
      </w:r>
      <w:r>
        <w:rPr>
          <w:rFonts w:ascii="仿宋" w:hAnsi="仿宋" w:eastAsia="仿宋" w:cs="仿宋"/>
          <w:color w:val="000000"/>
          <w:sz w:val="32"/>
          <w:szCs w:val="32"/>
        </w:rPr>
        <w:t>%</w:t>
      </w:r>
      <w:r>
        <w:rPr>
          <w:rFonts w:hint="eastAsia" w:ascii="仿宋" w:hAnsi="仿宋" w:eastAsia="仿宋" w:cs="仿宋"/>
          <w:color w:val="000000"/>
          <w:sz w:val="32"/>
          <w:szCs w:val="32"/>
        </w:rPr>
        <w:t>。主要原因上级来县调研视察接待任务有所增加。其中：</w:t>
      </w:r>
    </w:p>
    <w:p>
      <w:pPr>
        <w:spacing w:line="600" w:lineRule="exact"/>
        <w:ind w:firstLine="642" w:firstLineChars="200"/>
        <w:rPr>
          <w:rFonts w:ascii="仿宋" w:hAnsi="仿宋" w:eastAsia="仿宋" w:cs="仿宋"/>
          <w:color w:val="000000"/>
          <w:sz w:val="32"/>
          <w:szCs w:val="32"/>
        </w:rPr>
      </w:pPr>
      <w:r>
        <w:rPr>
          <w:rFonts w:hint="eastAsia" w:ascii="仿宋" w:hAnsi="仿宋" w:eastAsia="仿宋"/>
          <w:b/>
          <w:sz w:val="32"/>
          <w:szCs w:val="32"/>
        </w:rPr>
        <w:t>国内公务接待支出1.77万元，</w:t>
      </w:r>
      <w:r>
        <w:rPr>
          <w:rFonts w:hint="eastAsia" w:ascii="仿宋" w:hAnsi="仿宋" w:eastAsia="仿宋" w:cs="仿宋"/>
          <w:color w:val="000000"/>
          <w:sz w:val="32"/>
          <w:szCs w:val="32"/>
        </w:rPr>
        <w:t>主要用于执行公务、开展业务活动开支的用餐费等。国内公务接待14批次，256人次（不包括陪同人员），共计支出1.77万元，具体内容包括：接待自贡大安区人大来县学习考察、长宁县人大来县学习规范性文件备案审查、市人大来县调研预算联网监督、市人大来县调研民营经济发展、峨边县人大来县学习预算绩效管理等事项，产生公务接待费共计1.77万元。</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外事接待支出0万元</w:t>
      </w:r>
      <w:r>
        <w:rPr>
          <w:rFonts w:hint="eastAsia" w:ascii="仿宋_GB2312" w:eastAsia="仿宋_GB2312"/>
          <w:sz w:val="32"/>
          <w:szCs w:val="32"/>
        </w:rPr>
        <w:t>。</w:t>
      </w:r>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37"/>
      <w:bookmarkEnd w:id="38"/>
    </w:p>
    <w:p>
      <w:pPr>
        <w:spacing w:line="600" w:lineRule="exact"/>
        <w:ind w:firstLine="640"/>
        <w:rPr>
          <w:rFonts w:ascii="仿宋" w:hAnsi="仿宋" w:eastAsia="仿宋" w:cs="仿宋"/>
          <w:color w:val="000000"/>
          <w:sz w:val="32"/>
          <w:szCs w:val="32"/>
        </w:rPr>
      </w:pPr>
      <w:bookmarkStart w:id="39" w:name="_Toc15396611"/>
      <w:bookmarkStart w:id="40" w:name="_Toc15377219"/>
      <w:r>
        <w:rPr>
          <w:rFonts w:ascii="仿宋" w:hAnsi="仿宋" w:eastAsia="仿宋" w:cs="仿宋"/>
          <w:color w:val="000000"/>
          <w:sz w:val="32"/>
          <w:szCs w:val="32"/>
        </w:rPr>
        <w:t>2024</w:t>
      </w:r>
      <w:r>
        <w:rPr>
          <w:rFonts w:hint="eastAsia" w:ascii="仿宋" w:hAnsi="仿宋" w:eastAsia="仿宋" w:cs="仿宋"/>
          <w:color w:val="000000"/>
          <w:sz w:val="32"/>
          <w:szCs w:val="32"/>
        </w:rPr>
        <w:t>年政府性基金预算财政拨款支出0万元，</w:t>
      </w:r>
      <w:r>
        <w:rPr>
          <w:rFonts w:hint="eastAsia" w:eastAsia="仿宋_GB2312" w:cs="仿宋_GB2312"/>
          <w:sz w:val="32"/>
          <w:szCs w:val="32"/>
        </w:rPr>
        <w:t>与2023年度相比</w:t>
      </w:r>
      <w:r>
        <w:rPr>
          <w:rFonts w:hint="eastAsia" w:ascii="仿宋_GB2312" w:eastAsia="仿宋_GB2312"/>
          <w:sz w:val="32"/>
          <w:szCs w:val="32"/>
        </w:rPr>
        <w:t>无增减变化</w:t>
      </w:r>
      <w:r>
        <w:rPr>
          <w:rFonts w:hint="eastAsia" w:ascii="仿宋" w:hAnsi="仿宋" w:eastAsia="仿宋" w:cs="仿宋"/>
          <w:color w:val="000000"/>
          <w:sz w:val="32"/>
          <w:szCs w:val="32"/>
        </w:rPr>
        <w:t>。</w:t>
      </w:r>
    </w:p>
    <w:p>
      <w:pPr>
        <w:spacing w:line="600" w:lineRule="exact"/>
        <w:ind w:firstLine="640" w:firstLineChars="200"/>
        <w:outlineLvl w:val="1"/>
        <w:rPr>
          <w:rStyle w:val="29"/>
          <w:rFonts w:ascii="黑体" w:hAnsi="黑体" w:eastAsia="黑体"/>
          <w:b w:val="0"/>
        </w:rPr>
      </w:pPr>
      <w:r>
        <w:rPr>
          <w:rStyle w:val="29"/>
          <w:rFonts w:hint="eastAsia" w:ascii="黑体" w:hAnsi="黑体" w:eastAsia="黑体"/>
          <w:b w:val="0"/>
        </w:rPr>
        <w:t>九、国有资本经营预算支出决算情况说明</w:t>
      </w:r>
      <w:bookmarkEnd w:id="39"/>
      <w:bookmarkEnd w:id="40"/>
    </w:p>
    <w:p>
      <w:pPr>
        <w:spacing w:line="600" w:lineRule="exact"/>
        <w:ind w:firstLine="640"/>
        <w:rPr>
          <w:rFonts w:ascii="方正小标宋简体" w:hAnsi="方正小标宋简体" w:eastAsia="方正小标宋简体" w:cs="方正小标宋简体"/>
          <w:sz w:val="44"/>
          <w:szCs w:val="44"/>
        </w:rPr>
      </w:pPr>
      <w:r>
        <w:rPr>
          <w:rFonts w:ascii="仿宋" w:hAnsi="仿宋" w:eastAsia="仿宋" w:cs="仿宋"/>
          <w:color w:val="000000"/>
          <w:sz w:val="32"/>
          <w:szCs w:val="32"/>
        </w:rPr>
        <w:t>2024</w:t>
      </w:r>
      <w:r>
        <w:rPr>
          <w:rFonts w:hint="eastAsia" w:ascii="仿宋" w:hAnsi="仿宋" w:eastAsia="仿宋" w:cs="仿宋"/>
          <w:color w:val="000000"/>
          <w:sz w:val="32"/>
          <w:szCs w:val="32"/>
        </w:rPr>
        <w:t>年国有资本经营预算拨款支出0万元，</w:t>
      </w:r>
      <w:r>
        <w:rPr>
          <w:rFonts w:hint="eastAsia" w:eastAsia="仿宋_GB2312" w:cs="仿宋_GB2312"/>
          <w:sz w:val="32"/>
          <w:szCs w:val="32"/>
        </w:rPr>
        <w:t>与2023年度相比</w:t>
      </w:r>
      <w:r>
        <w:rPr>
          <w:rFonts w:hint="eastAsia" w:ascii="仿宋_GB2312" w:eastAsia="仿宋_GB2312"/>
          <w:sz w:val="32"/>
          <w:szCs w:val="32"/>
        </w:rPr>
        <w:t>无增减变化</w:t>
      </w:r>
      <w:r>
        <w:rPr>
          <w:rFonts w:hint="eastAsia" w:ascii="仿宋" w:hAnsi="仿宋" w:eastAsia="仿宋" w:cs="仿宋"/>
          <w:color w:val="000000"/>
          <w:sz w:val="32"/>
          <w:szCs w:val="32"/>
        </w:rPr>
        <w:t>。</w:t>
      </w:r>
    </w:p>
    <w:p>
      <w:pPr>
        <w:spacing w:line="600" w:lineRule="exact"/>
        <w:ind w:firstLine="640" w:firstLineChars="200"/>
        <w:outlineLvl w:val="1"/>
        <w:rPr>
          <w:rStyle w:val="29"/>
          <w:rFonts w:ascii="黑体" w:hAnsi="黑体" w:eastAsia="黑体"/>
          <w:b w:val="0"/>
        </w:rPr>
      </w:pPr>
      <w:bookmarkStart w:id="41" w:name="_Toc15377221"/>
      <w:bookmarkStart w:id="42" w:name="_Toc15396612"/>
      <w:r>
        <w:rPr>
          <w:rStyle w:val="29"/>
          <w:rFonts w:hint="eastAsia" w:ascii="黑体" w:hAnsi="黑体" w:eastAsia="黑体"/>
          <w:b w:val="0"/>
        </w:rPr>
        <w:t>十、其他重要事项的情况说明</w:t>
      </w:r>
      <w:bookmarkEnd w:id="41"/>
      <w:bookmarkEnd w:id="42"/>
    </w:p>
    <w:p>
      <w:pPr>
        <w:autoSpaceDE w:val="0"/>
        <w:autoSpaceDN w:val="0"/>
        <w:adjustRightInd w:val="0"/>
        <w:spacing w:line="600" w:lineRule="exact"/>
        <w:ind w:firstLine="642" w:firstLineChars="200"/>
        <w:jc w:val="left"/>
        <w:outlineLvl w:val="2"/>
        <w:rPr>
          <w:rFonts w:ascii="楷体" w:hAnsi="楷体" w:eastAsia="楷体"/>
          <w:b/>
          <w:sz w:val="32"/>
          <w:szCs w:val="32"/>
        </w:rPr>
      </w:pPr>
      <w:bookmarkStart w:id="43" w:name="_Toc15377222"/>
      <w:r>
        <w:rPr>
          <w:rFonts w:hint="eastAsia" w:ascii="楷体" w:hAnsi="楷体" w:eastAsia="楷体"/>
          <w:b/>
          <w:sz w:val="32"/>
          <w:szCs w:val="32"/>
        </w:rPr>
        <w:t>（一）机关运行经费支出情况</w:t>
      </w:r>
      <w:bookmarkEnd w:id="43"/>
    </w:p>
    <w:p>
      <w:pPr>
        <w:spacing w:line="600" w:lineRule="exact"/>
        <w:ind w:firstLine="640" w:firstLineChars="200"/>
        <w:rPr>
          <w:rFonts w:ascii="仿宋" w:hAnsi="仿宋" w:eastAsia="仿宋"/>
          <w:b/>
          <w:color w:val="FF0000"/>
          <w:sz w:val="32"/>
          <w:szCs w:val="32"/>
        </w:rPr>
      </w:pPr>
      <w:r>
        <w:rPr>
          <w:rFonts w:ascii="仿宋_GB2312" w:eastAsia="仿宋_GB2312"/>
          <w:sz w:val="32"/>
          <w:szCs w:val="32"/>
        </w:rPr>
        <w:t>2024</w:t>
      </w:r>
      <w:r>
        <w:rPr>
          <w:rFonts w:hint="eastAsia" w:ascii="仿宋_GB2312" w:eastAsia="仿宋_GB2312"/>
          <w:sz w:val="32"/>
          <w:szCs w:val="32"/>
        </w:rPr>
        <w:t>年，</w:t>
      </w:r>
      <w:r>
        <w:rPr>
          <w:rFonts w:hint="eastAsia" w:ascii="仿宋" w:hAnsi="仿宋" w:eastAsia="仿宋" w:cs="仿宋"/>
          <w:color w:val="000000"/>
          <w:sz w:val="32"/>
          <w:szCs w:val="32"/>
        </w:rPr>
        <w:t>高县人民代表大会常务委员会办公室机关运行经费支出98.96万元，比</w:t>
      </w:r>
      <w:r>
        <w:rPr>
          <w:rFonts w:ascii="仿宋" w:hAnsi="仿宋" w:eastAsia="仿宋" w:cs="仿宋"/>
          <w:color w:val="000000"/>
          <w:sz w:val="32"/>
          <w:szCs w:val="32"/>
        </w:rPr>
        <w:t>2023</w:t>
      </w:r>
      <w:r>
        <w:rPr>
          <w:rFonts w:hint="eastAsia" w:ascii="仿宋" w:hAnsi="仿宋" w:eastAsia="仿宋" w:cs="仿宋"/>
          <w:color w:val="000000"/>
          <w:sz w:val="32"/>
          <w:szCs w:val="32"/>
        </w:rPr>
        <w:t>年增加2.26万元，增长2.35</w:t>
      </w:r>
      <w:r>
        <w:rPr>
          <w:rFonts w:ascii="仿宋" w:hAnsi="仿宋" w:eastAsia="仿宋" w:cs="仿宋"/>
          <w:color w:val="000000"/>
          <w:sz w:val="32"/>
          <w:szCs w:val="32"/>
        </w:rPr>
        <w:t>%</w:t>
      </w:r>
      <w:r>
        <w:rPr>
          <w:rFonts w:hint="eastAsia" w:ascii="仿宋" w:hAnsi="仿宋" w:eastAsia="仿宋" w:cs="仿宋"/>
          <w:color w:val="000000"/>
          <w:sz w:val="32"/>
          <w:szCs w:val="32"/>
        </w:rPr>
        <w:t>。主要原因是</w:t>
      </w:r>
      <w:r>
        <w:rPr>
          <w:rFonts w:ascii="仿宋" w:hAnsi="仿宋" w:eastAsia="仿宋" w:cs="仿宋"/>
          <w:color w:val="000000"/>
          <w:sz w:val="32"/>
          <w:szCs w:val="32"/>
        </w:rPr>
        <w:t>2024</w:t>
      </w:r>
      <w:r>
        <w:rPr>
          <w:rFonts w:hint="eastAsia" w:ascii="仿宋" w:hAnsi="仿宋" w:eastAsia="仿宋" w:cs="仿宋"/>
          <w:color w:val="000000"/>
          <w:sz w:val="32"/>
          <w:szCs w:val="32"/>
        </w:rPr>
        <w:t>年人员增加，导致相应机关运行经费增加。</w:t>
      </w:r>
    </w:p>
    <w:p>
      <w:pPr>
        <w:autoSpaceDE w:val="0"/>
        <w:autoSpaceDN w:val="0"/>
        <w:adjustRightInd w:val="0"/>
        <w:spacing w:line="600" w:lineRule="exact"/>
        <w:ind w:firstLine="642" w:firstLineChars="200"/>
        <w:jc w:val="left"/>
        <w:outlineLvl w:val="2"/>
        <w:rPr>
          <w:rFonts w:ascii="楷体" w:hAnsi="楷体" w:eastAsia="楷体"/>
          <w:b/>
          <w:sz w:val="32"/>
          <w:szCs w:val="32"/>
        </w:rPr>
      </w:pPr>
      <w:bookmarkStart w:id="44" w:name="_Toc15377223"/>
      <w:r>
        <w:rPr>
          <w:rFonts w:hint="eastAsia" w:ascii="楷体" w:hAnsi="楷体" w:eastAsia="楷体"/>
          <w:b/>
          <w:sz w:val="32"/>
          <w:szCs w:val="32"/>
        </w:rPr>
        <w:t>（二）政府采购支出情况</w:t>
      </w:r>
      <w:bookmarkEnd w:id="44"/>
    </w:p>
    <w:p>
      <w:pPr>
        <w:spacing w:line="600" w:lineRule="exact"/>
        <w:ind w:firstLine="640" w:firstLineChars="200"/>
        <w:rPr>
          <w:rFonts w:ascii="仿宋" w:hAnsi="仿宋" w:eastAsia="仿宋" w:cs="仿宋"/>
          <w:color w:val="000000"/>
          <w:sz w:val="32"/>
          <w:szCs w:val="32"/>
        </w:rPr>
      </w:pPr>
      <w:bookmarkStart w:id="45" w:name="_Toc15377224"/>
      <w:r>
        <w:rPr>
          <w:rFonts w:hint="eastAsia" w:ascii="仿宋_GB2312" w:eastAsia="仿宋_GB2312"/>
          <w:sz w:val="32"/>
          <w:szCs w:val="32"/>
        </w:rPr>
        <w:t>2024年度，高县人民代表大会常务委员会办公室政府采购支出总额</w:t>
      </w:r>
      <w:r>
        <w:rPr>
          <w:rFonts w:hint="eastAsia" w:ascii="仿宋_GB2312" w:hAnsi="仿宋" w:eastAsia="仿宋_GB2312" w:cs="仿宋"/>
          <w:color w:val="000000"/>
          <w:sz w:val="32"/>
          <w:szCs w:val="32"/>
        </w:rPr>
        <w:t>94.58</w:t>
      </w:r>
      <w:r>
        <w:rPr>
          <w:rFonts w:hint="eastAsia" w:ascii="仿宋_GB2312" w:eastAsia="仿宋_GB2312"/>
          <w:sz w:val="32"/>
          <w:szCs w:val="32"/>
        </w:rPr>
        <w:t xml:space="preserve">万元，其中：政府采购货物支出 0 万元、政府采购工程支出 0 万元、政府采购服务支出 </w:t>
      </w:r>
      <w:r>
        <w:rPr>
          <w:rFonts w:hint="eastAsia" w:ascii="仿宋_GB2312" w:hAnsi="仿宋" w:eastAsia="仿宋_GB2312" w:cs="仿宋"/>
          <w:color w:val="000000"/>
          <w:sz w:val="32"/>
          <w:szCs w:val="32"/>
        </w:rPr>
        <w:t>94.58</w:t>
      </w:r>
      <w:r>
        <w:rPr>
          <w:rFonts w:hint="eastAsia" w:ascii="仿宋_GB2312" w:eastAsia="仿宋_GB2312"/>
          <w:sz w:val="32"/>
          <w:szCs w:val="32"/>
        </w:rPr>
        <w:t xml:space="preserve"> 万元。</w:t>
      </w:r>
      <w:r>
        <w:rPr>
          <w:rFonts w:hint="eastAsia" w:eastAsia="仿宋_GB2312" w:cs="仿宋_GB2312"/>
          <w:sz w:val="32"/>
          <w:szCs w:val="32"/>
        </w:rPr>
        <w:t>主要用于</w:t>
      </w:r>
      <w:r>
        <w:rPr>
          <w:rFonts w:hint="eastAsia" w:ascii="仿宋_GB2312" w:hAnsi="仿宋" w:eastAsia="仿宋_GB2312" w:cs="仿宋"/>
          <w:color w:val="000000"/>
          <w:sz w:val="32"/>
          <w:szCs w:val="32"/>
        </w:rPr>
        <w:t>实施数智人大综合服务平台建设。授予中小企业合同金额94.58 万元，占政府采购支出总额的100%，其中：授予小微企业合同金额 94.58 万元，占政府采购支出总额的100%。</w:t>
      </w:r>
    </w:p>
    <w:p>
      <w:pPr>
        <w:spacing w:line="600" w:lineRule="exact"/>
        <w:ind w:firstLine="642" w:firstLineChars="200"/>
        <w:rPr>
          <w:rFonts w:ascii="楷体" w:hAnsi="楷体" w:eastAsia="楷体"/>
          <w:b/>
          <w:sz w:val="32"/>
          <w:szCs w:val="32"/>
        </w:rPr>
      </w:pPr>
      <w:r>
        <w:rPr>
          <w:rFonts w:hint="eastAsia" w:ascii="楷体" w:hAnsi="楷体" w:eastAsia="楷体"/>
          <w:b/>
          <w:sz w:val="32"/>
          <w:szCs w:val="32"/>
        </w:rPr>
        <w:t>（三）国有资产占有使用情况</w:t>
      </w:r>
      <w:bookmarkEnd w:id="45"/>
    </w:p>
    <w:p>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截至2024年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日，高县人民代表大会常务委员会办公室共有车辆</w:t>
      </w:r>
      <w:r>
        <w:rPr>
          <w:rFonts w:ascii="仿宋_GB2312" w:eastAsia="仿宋_GB2312"/>
          <w:sz w:val="32"/>
          <w:szCs w:val="32"/>
        </w:rPr>
        <w:t>0</w:t>
      </w:r>
      <w:r>
        <w:rPr>
          <w:rFonts w:hint="eastAsia" w:ascii="仿宋_GB2312" w:eastAsia="仿宋_GB2312"/>
          <w:sz w:val="32"/>
          <w:szCs w:val="32"/>
        </w:rPr>
        <w:t>辆。</w:t>
      </w:r>
      <w:r>
        <w:rPr>
          <w:rFonts w:hint="eastAsia" w:eastAsia="仿宋_GB2312" w:cs="仿宋_GB2312"/>
          <w:sz w:val="32"/>
          <w:szCs w:val="32"/>
        </w:rPr>
        <w:t>单价100万元（含）以上设备（不含车辆）</w:t>
      </w:r>
      <w:r>
        <w:rPr>
          <w:rFonts w:ascii="仿宋_GB2312" w:eastAsia="仿宋_GB2312"/>
          <w:sz w:val="32"/>
          <w:szCs w:val="32"/>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楷体" w:hAnsi="楷体" w:eastAsia="楷体"/>
          <w:b/>
          <w:sz w:val="32"/>
          <w:szCs w:val="32"/>
        </w:rPr>
      </w:pPr>
      <w:r>
        <w:rPr>
          <w:rFonts w:hint="eastAsia" w:ascii="楷体" w:hAnsi="楷体" w:eastAsia="楷体"/>
          <w:b/>
          <w:sz w:val="32"/>
          <w:szCs w:val="32"/>
        </w:rPr>
        <w:t>（四）预算绩效管理情况</w:t>
      </w:r>
      <w:bookmarkStart w:id="46" w:name="_Toc15396613"/>
      <w:bookmarkStart w:id="47" w:name="_Toc15377225"/>
    </w:p>
    <w:p>
      <w:pPr>
        <w:autoSpaceDE w:val="0"/>
        <w:autoSpaceDN w:val="0"/>
        <w:adjustRightInd w:val="0"/>
        <w:spacing w:line="600" w:lineRule="exact"/>
        <w:ind w:firstLine="640" w:firstLineChars="200"/>
        <w:jc w:val="left"/>
        <w:outlineLvl w:val="2"/>
        <w:rPr>
          <w:rFonts w:ascii="仿宋" w:hAnsi="仿宋" w:eastAsia="仿宋" w:cs="仿宋"/>
          <w:color w:val="000000"/>
          <w:sz w:val="32"/>
          <w:szCs w:val="32"/>
        </w:rPr>
      </w:pPr>
      <w:r>
        <w:rPr>
          <w:rFonts w:hint="eastAsia" w:ascii="仿宋" w:hAnsi="仿宋" w:eastAsia="仿宋" w:cs="仿宋"/>
          <w:color w:val="000000"/>
          <w:sz w:val="32"/>
          <w:szCs w:val="32"/>
        </w:rPr>
        <w:t>根据预算绩效管理要求，</w:t>
      </w:r>
      <w:r>
        <w:rPr>
          <w:rFonts w:hint="eastAsia" w:ascii="仿宋_GB2312" w:eastAsia="仿宋_GB2312"/>
          <w:sz w:val="32"/>
          <w:szCs w:val="32"/>
        </w:rPr>
        <w:t>高县人民代表大会常务委员会办公室</w:t>
      </w:r>
      <w:r>
        <w:rPr>
          <w:rFonts w:hint="eastAsia" w:ascii="仿宋" w:hAnsi="仿宋" w:eastAsia="仿宋" w:cs="仿宋"/>
          <w:color w:val="000000"/>
          <w:sz w:val="32"/>
          <w:szCs w:val="32"/>
        </w:rPr>
        <w:t>在2024年度预算编制阶</w:t>
      </w:r>
      <w:r>
        <w:rPr>
          <w:rFonts w:hint="eastAsia" w:ascii="仿宋_GB2312" w:hAnsi="仿宋_GB2312" w:eastAsia="仿宋_GB2312" w:cs="仿宋_GB2312"/>
          <w:sz w:val="32"/>
          <w:szCs w:val="32"/>
        </w:rPr>
        <w:t>段，组织</w:t>
      </w:r>
      <w:r>
        <w:rPr>
          <w:rFonts w:hint="eastAsia" w:ascii="仿宋" w:hAnsi="仿宋" w:eastAsia="仿宋" w:cs="仿宋"/>
          <w:color w:val="000000"/>
          <w:sz w:val="32"/>
          <w:szCs w:val="32"/>
        </w:rPr>
        <w:t>对“项目工作经费”、“</w:t>
      </w:r>
      <w:r>
        <w:rPr>
          <w:rFonts w:hint="eastAsia" w:ascii="仿宋" w:hAnsi="仿宋" w:eastAsia="仿宋"/>
          <w:sz w:val="32"/>
          <w:szCs w:val="32"/>
        </w:rPr>
        <w:t>数智人大综合服务平台建设</w:t>
      </w:r>
      <w:r>
        <w:rPr>
          <w:rFonts w:ascii="仿宋" w:hAnsi="仿宋" w:eastAsia="仿宋" w:cs="仿宋"/>
          <w:color w:val="000000"/>
          <w:sz w:val="32"/>
          <w:szCs w:val="32"/>
        </w:rPr>
        <w:t>”</w:t>
      </w:r>
      <w:r>
        <w:rPr>
          <w:rFonts w:hint="eastAsia" w:ascii="仿宋" w:hAnsi="仿宋" w:eastAsia="仿宋" w:cs="仿宋"/>
          <w:color w:val="000000"/>
          <w:sz w:val="32"/>
          <w:szCs w:val="32"/>
        </w:rPr>
        <w:t>2个项目开展了预算事前绩效评估，对4个项目和部门整体支出编制了绩效目标，预算执行过程中，选取“项目工作经费”、“</w:t>
      </w:r>
      <w:r>
        <w:rPr>
          <w:rFonts w:hint="eastAsia" w:ascii="仿宋" w:hAnsi="仿宋" w:eastAsia="仿宋"/>
          <w:sz w:val="32"/>
          <w:szCs w:val="32"/>
        </w:rPr>
        <w:t>数智人大综合服务平台建设</w:t>
      </w:r>
      <w:r>
        <w:rPr>
          <w:rFonts w:ascii="仿宋" w:hAnsi="仿宋" w:eastAsia="仿宋" w:cs="仿宋"/>
          <w:color w:val="000000"/>
          <w:sz w:val="32"/>
          <w:szCs w:val="32"/>
        </w:rPr>
        <w:t>”</w:t>
      </w:r>
      <w:r>
        <w:rPr>
          <w:rFonts w:hint="eastAsia" w:ascii="仿宋" w:hAnsi="仿宋" w:eastAsia="仿宋" w:cs="仿宋"/>
          <w:color w:val="000000"/>
          <w:sz w:val="32"/>
          <w:szCs w:val="32"/>
        </w:rPr>
        <w:t>、“深化人大主席团规范化建设</w:t>
      </w:r>
      <w:r>
        <w:rPr>
          <w:rFonts w:ascii="仿宋" w:hAnsi="仿宋" w:eastAsia="仿宋" w:cs="仿宋"/>
          <w:color w:val="000000"/>
          <w:sz w:val="32"/>
          <w:szCs w:val="32"/>
        </w:rPr>
        <w:t>”</w:t>
      </w:r>
      <w:r>
        <w:rPr>
          <w:rFonts w:hint="eastAsia" w:ascii="仿宋" w:hAnsi="仿宋" w:eastAsia="仿宋" w:cs="仿宋"/>
          <w:color w:val="000000"/>
          <w:sz w:val="32"/>
          <w:szCs w:val="32"/>
        </w:rPr>
        <w:t>、“人大代表家站运行维护</w:t>
      </w:r>
      <w:r>
        <w:rPr>
          <w:rFonts w:ascii="仿宋" w:hAnsi="仿宋" w:eastAsia="仿宋" w:cs="仿宋"/>
          <w:color w:val="000000"/>
          <w:sz w:val="32"/>
          <w:szCs w:val="32"/>
        </w:rPr>
        <w:t>”</w:t>
      </w:r>
      <w:r>
        <w:rPr>
          <w:rFonts w:hint="eastAsia" w:ascii="仿宋" w:hAnsi="仿宋" w:eastAsia="仿宋" w:cs="仿宋"/>
          <w:color w:val="000000"/>
          <w:sz w:val="32"/>
          <w:szCs w:val="32"/>
        </w:rPr>
        <w:t>4个项目开展绩效监控。</w:t>
      </w:r>
    </w:p>
    <w:p>
      <w:pPr>
        <w:autoSpaceDE w:val="0"/>
        <w:autoSpaceDN w:val="0"/>
        <w:adjustRightInd w:val="0"/>
        <w:spacing w:line="600" w:lineRule="exact"/>
        <w:ind w:firstLine="640" w:firstLineChars="200"/>
        <w:jc w:val="left"/>
        <w:outlineLvl w:val="2"/>
        <w:rPr>
          <w:rFonts w:ascii="仿宋" w:hAnsi="仿宋" w:eastAsia="仿宋" w:cs="仿宋"/>
          <w:color w:val="000000"/>
          <w:sz w:val="32"/>
          <w:szCs w:val="32"/>
        </w:rPr>
      </w:pPr>
      <w:r>
        <w:rPr>
          <w:rFonts w:hint="eastAsia" w:ascii="仿宋" w:hAnsi="仿宋" w:eastAsia="仿宋" w:cs="仿宋"/>
          <w:color w:val="000000"/>
          <w:sz w:val="32"/>
          <w:szCs w:val="32"/>
        </w:rPr>
        <w:t>组织对2024年度一般公共预算支出全面开展绩效自评，形成</w:t>
      </w:r>
      <w:r>
        <w:rPr>
          <w:rFonts w:hint="eastAsia" w:ascii="仿宋_GB2312" w:eastAsia="仿宋_GB2312"/>
          <w:sz w:val="32"/>
          <w:szCs w:val="32"/>
        </w:rPr>
        <w:t>高县人民代表大会常务委员会办公室</w:t>
      </w:r>
      <w:r>
        <w:rPr>
          <w:rFonts w:hint="eastAsia" w:ascii="仿宋" w:hAnsi="仿宋" w:eastAsia="仿宋" w:cs="仿宋"/>
          <w:color w:val="000000"/>
          <w:sz w:val="32"/>
          <w:szCs w:val="32"/>
        </w:rPr>
        <w:t>2024年度部门预算绩效自评报告,自评得分为</w:t>
      </w:r>
      <w:r>
        <w:rPr>
          <w:rFonts w:hint="eastAsia" w:ascii="仿宋" w:hAnsi="仿宋" w:eastAsia="仿宋"/>
          <w:sz w:val="32"/>
          <w:szCs w:val="32"/>
        </w:rPr>
        <w:t>92.85分。绩效自评综述：2024年我办部门</w:t>
      </w:r>
      <w:r>
        <w:rPr>
          <w:rFonts w:hint="eastAsia" w:ascii="仿宋" w:hAnsi="仿宋" w:eastAsia="仿宋" w:cs="仿宋"/>
          <w:color w:val="000000"/>
          <w:sz w:val="32"/>
          <w:szCs w:val="32"/>
        </w:rPr>
        <w:t>预算绩效</w:t>
      </w:r>
      <w:r>
        <w:rPr>
          <w:rFonts w:hint="eastAsia" w:ascii="仿宋" w:hAnsi="仿宋" w:eastAsia="仿宋"/>
          <w:sz w:val="32"/>
          <w:szCs w:val="32"/>
        </w:rPr>
        <w:t>自查自评结果良好，全年基本支出保证了部门的正常运转，项目支出保障了重点工作的开展。</w:t>
      </w:r>
    </w:p>
    <w:p>
      <w:pPr>
        <w:pStyle w:val="2"/>
        <w:spacing w:before="93"/>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Style w:val="28"/>
          <w:rFonts w:ascii="黑体" w:hAnsi="黑体" w:eastAsia="黑体"/>
          <w:b w:val="0"/>
        </w:rPr>
      </w:pPr>
      <w:r>
        <w:rPr>
          <w:rFonts w:hint="eastAsia" w:ascii="黑体" w:hAnsi="黑体" w:eastAsia="黑体"/>
          <w:sz w:val="44"/>
          <w:szCs w:val="44"/>
        </w:rPr>
        <w:t>第三部分 名</w:t>
      </w:r>
      <w:r>
        <w:rPr>
          <w:rStyle w:val="28"/>
          <w:rFonts w:hint="eastAsia" w:ascii="黑体" w:hAnsi="黑体" w:eastAsia="黑体"/>
          <w:b w:val="0"/>
        </w:rPr>
        <w:t>词解释</w:t>
      </w:r>
      <w:bookmarkEnd w:id="46"/>
      <w:bookmarkEnd w:id="47"/>
    </w:p>
    <w:p>
      <w:pPr>
        <w:spacing w:line="600" w:lineRule="exact"/>
        <w:jc w:val="left"/>
        <w:rPr>
          <w:rFonts w:ascii="宋体"/>
          <w:b/>
          <w:sz w:val="44"/>
          <w:szCs w:val="44"/>
        </w:rPr>
      </w:pPr>
    </w:p>
    <w:p>
      <w:pPr>
        <w:spacing w:line="600" w:lineRule="exact"/>
        <w:ind w:firstLine="640"/>
        <w:rPr>
          <w:rFonts w:ascii="仿宋" w:hAnsi="仿宋" w:eastAsia="仿宋" w:cs="仿宋"/>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财政拨款收入：指单位从同级财政部门取得的财政预算资金。</w:t>
      </w:r>
    </w:p>
    <w:p>
      <w:pPr>
        <w:spacing w:line="600" w:lineRule="exact"/>
        <w:ind w:firstLine="640"/>
        <w:rPr>
          <w:rFonts w:ascii="仿宋" w:hAnsi="仿宋" w:eastAsia="仿宋" w:cs="仿宋"/>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 xml:space="preserve"> 其他收入：指单位取得的除“财政拨款收入”、“ 事业收入”、“ 经营收入”等以外的收入。</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3</w:t>
      </w:r>
      <w:r>
        <w:rPr>
          <w:rFonts w:ascii="仿宋" w:hAnsi="仿宋" w:eastAsia="仿宋" w:cs="仿宋"/>
          <w:color w:val="000000"/>
          <w:sz w:val="32"/>
          <w:szCs w:val="32"/>
        </w:rPr>
        <w:t>.</w:t>
      </w:r>
      <w:r>
        <w:rPr>
          <w:rFonts w:hint="eastAsia" w:ascii="仿宋" w:hAnsi="仿宋" w:eastAsia="仿宋" w:cs="仿宋"/>
          <w:color w:val="000000"/>
          <w:sz w:val="32"/>
          <w:szCs w:val="32"/>
        </w:rPr>
        <w:t xml:space="preserve"> 年初结转和结余：指以前年度尚未完成、结转到本年按有关规定继续使用的资金。</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4</w:t>
      </w:r>
      <w:r>
        <w:rPr>
          <w:rFonts w:ascii="仿宋" w:hAnsi="仿宋" w:eastAsia="仿宋" w:cs="仿宋"/>
          <w:color w:val="000000"/>
          <w:sz w:val="32"/>
          <w:szCs w:val="32"/>
        </w:rPr>
        <w:t>.</w:t>
      </w:r>
      <w:r>
        <w:rPr>
          <w:rFonts w:hint="eastAsia" w:ascii="仿宋" w:hAnsi="仿宋" w:eastAsia="仿宋" w:cs="仿宋"/>
          <w:color w:val="000000"/>
          <w:sz w:val="32"/>
          <w:szCs w:val="32"/>
        </w:rPr>
        <w:t xml:space="preserve"> 年末结转和结余：指单位按有关规定结转到下年或以后年度继续使用的资金。</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5. 一般公共服务（类）人大事务（款）行政运行（项）：是指人大常委会机关用于保障机构正常运行、开展日常工作的基本支出。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6</w:t>
      </w:r>
      <w:r>
        <w:rPr>
          <w:rFonts w:ascii="仿宋" w:hAnsi="仿宋" w:eastAsia="仿宋" w:cs="仿宋"/>
          <w:color w:val="000000"/>
          <w:sz w:val="32"/>
          <w:szCs w:val="32"/>
        </w:rPr>
        <w:t>.</w:t>
      </w:r>
      <w:r>
        <w:rPr>
          <w:rFonts w:hint="eastAsia" w:ascii="仿宋" w:hAnsi="仿宋" w:eastAsia="仿宋" w:cs="仿宋"/>
          <w:color w:val="000000"/>
          <w:sz w:val="32"/>
          <w:szCs w:val="32"/>
        </w:rPr>
        <w:t xml:space="preserve"> 一般公共服务（类）人大事务（款）人大会议（项）</w:t>
      </w:r>
      <w:r>
        <w:rPr>
          <w:rFonts w:ascii="仿宋" w:hAnsi="仿宋" w:eastAsia="仿宋" w:cs="仿宋"/>
          <w:color w:val="000000"/>
          <w:sz w:val="32"/>
          <w:szCs w:val="32"/>
        </w:rPr>
        <w:t xml:space="preserve">: </w:t>
      </w:r>
      <w:r>
        <w:rPr>
          <w:rFonts w:hint="eastAsia" w:ascii="仿宋" w:hAnsi="仿宋" w:eastAsia="仿宋" w:cs="仿宋"/>
          <w:color w:val="000000"/>
          <w:sz w:val="32"/>
          <w:szCs w:val="32"/>
        </w:rPr>
        <w:t>是指人大常委会机关用于组织召开各类人大会议的支出。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7</w:t>
      </w:r>
      <w:r>
        <w:rPr>
          <w:rFonts w:ascii="仿宋" w:hAnsi="仿宋" w:eastAsia="仿宋" w:cs="仿宋"/>
          <w:color w:val="000000"/>
          <w:sz w:val="32"/>
          <w:szCs w:val="32"/>
        </w:rPr>
        <w:t>.</w:t>
      </w:r>
      <w:r>
        <w:rPr>
          <w:rFonts w:hint="eastAsia" w:ascii="仿宋" w:hAnsi="仿宋" w:eastAsia="仿宋" w:cs="仿宋"/>
          <w:color w:val="000000"/>
          <w:sz w:val="32"/>
          <w:szCs w:val="32"/>
        </w:rPr>
        <w:t xml:space="preserve"> 一般公共服务（类）人大事务（款）人大监督（项）</w:t>
      </w:r>
      <w:r>
        <w:rPr>
          <w:rFonts w:ascii="仿宋" w:hAnsi="仿宋" w:eastAsia="仿宋" w:cs="仿宋"/>
          <w:color w:val="000000"/>
          <w:sz w:val="32"/>
          <w:szCs w:val="32"/>
        </w:rPr>
        <w:t xml:space="preserve">: </w:t>
      </w:r>
      <w:r>
        <w:rPr>
          <w:rFonts w:hint="eastAsia" w:ascii="仿宋" w:hAnsi="仿宋" w:eastAsia="仿宋" w:cs="仿宋"/>
          <w:color w:val="000000"/>
          <w:sz w:val="32"/>
          <w:szCs w:val="32"/>
        </w:rPr>
        <w:t>是指人大常委会机关用于开展各类执法检查、监督等所发生的支出。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8</w:t>
      </w:r>
      <w:r>
        <w:rPr>
          <w:rFonts w:ascii="仿宋" w:hAnsi="仿宋" w:eastAsia="仿宋" w:cs="仿宋"/>
          <w:color w:val="000000"/>
          <w:sz w:val="32"/>
          <w:szCs w:val="32"/>
        </w:rPr>
        <w:t>.</w:t>
      </w:r>
      <w:r>
        <w:rPr>
          <w:rFonts w:hint="eastAsia" w:ascii="仿宋" w:hAnsi="仿宋" w:eastAsia="仿宋" w:cs="仿宋"/>
          <w:color w:val="000000"/>
          <w:sz w:val="32"/>
          <w:szCs w:val="32"/>
        </w:rPr>
        <w:t xml:space="preserve"> 一般公共服务（类）人大事务（款）人大代表履职能力提升（项）</w:t>
      </w:r>
      <w:r>
        <w:rPr>
          <w:rFonts w:ascii="仿宋" w:hAnsi="仿宋" w:eastAsia="仿宋" w:cs="仿宋"/>
          <w:color w:val="000000"/>
          <w:sz w:val="32"/>
          <w:szCs w:val="32"/>
        </w:rPr>
        <w:t xml:space="preserve">: </w:t>
      </w:r>
      <w:r>
        <w:rPr>
          <w:rFonts w:hint="eastAsia" w:ascii="仿宋" w:hAnsi="仿宋" w:eastAsia="仿宋" w:cs="仿宋"/>
          <w:color w:val="000000"/>
          <w:sz w:val="32"/>
          <w:szCs w:val="32"/>
        </w:rPr>
        <w:t>是指人大常委会机关用于为提高人大代表履职能力所发生的培训、宣传等支出。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9</w:t>
      </w:r>
      <w:r>
        <w:rPr>
          <w:rFonts w:ascii="仿宋" w:hAnsi="仿宋" w:eastAsia="仿宋" w:cs="仿宋"/>
          <w:color w:val="000000"/>
          <w:sz w:val="32"/>
          <w:szCs w:val="32"/>
        </w:rPr>
        <w:t>.</w:t>
      </w:r>
      <w:r>
        <w:rPr>
          <w:rFonts w:hint="eastAsia" w:ascii="仿宋" w:hAnsi="仿宋" w:eastAsia="仿宋" w:cs="仿宋"/>
          <w:color w:val="000000"/>
          <w:sz w:val="32"/>
          <w:szCs w:val="32"/>
        </w:rPr>
        <w:t xml:space="preserve"> 一般公共服务（类）人大事务（款）代表工作（项）</w:t>
      </w:r>
      <w:r>
        <w:rPr>
          <w:rFonts w:ascii="仿宋" w:hAnsi="仿宋" w:eastAsia="仿宋" w:cs="仿宋"/>
          <w:color w:val="000000"/>
          <w:sz w:val="32"/>
          <w:szCs w:val="32"/>
        </w:rPr>
        <w:t xml:space="preserve">: </w:t>
      </w:r>
      <w:r>
        <w:rPr>
          <w:rFonts w:hint="eastAsia" w:ascii="仿宋" w:hAnsi="仿宋" w:eastAsia="仿宋" w:cs="仿宋"/>
          <w:color w:val="000000"/>
          <w:sz w:val="32"/>
          <w:szCs w:val="32"/>
        </w:rPr>
        <w:t>是指人大常委会机关用于开展人大代表活动等所发生的支出。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10</w:t>
      </w:r>
      <w:r>
        <w:rPr>
          <w:rFonts w:ascii="仿宋" w:hAnsi="仿宋" w:eastAsia="仿宋" w:cs="仿宋"/>
          <w:color w:val="000000"/>
          <w:sz w:val="32"/>
          <w:szCs w:val="32"/>
        </w:rPr>
        <w:t>.</w:t>
      </w:r>
      <w:r>
        <w:rPr>
          <w:rFonts w:hint="eastAsia" w:ascii="仿宋" w:hAnsi="仿宋" w:eastAsia="仿宋" w:cs="仿宋"/>
          <w:color w:val="000000"/>
          <w:sz w:val="32"/>
          <w:szCs w:val="32"/>
        </w:rPr>
        <w:t xml:space="preserve"> 一般公共服务（类）人大事务（款）事业运行（项）：是指预算联网信息工作中心用于保障机构正常运行、开展日常工作的基本支出。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11.一般公共服务（类）人大事务（款）其他人大事务支出（项）</w:t>
      </w:r>
      <w:r>
        <w:rPr>
          <w:rFonts w:ascii="仿宋" w:hAnsi="仿宋" w:eastAsia="仿宋" w:cs="仿宋"/>
          <w:color w:val="000000"/>
          <w:sz w:val="32"/>
          <w:szCs w:val="32"/>
        </w:rPr>
        <w:t xml:space="preserve">: </w:t>
      </w:r>
      <w:r>
        <w:rPr>
          <w:rFonts w:hint="eastAsia" w:ascii="仿宋" w:hAnsi="仿宋" w:eastAsia="仿宋" w:cs="仿宋"/>
          <w:color w:val="000000"/>
          <w:sz w:val="32"/>
          <w:szCs w:val="32"/>
        </w:rPr>
        <w:t>是指人大常委会机关用于开展四型机关建设活动等所发生的支出。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12.社会保障和就业（类）行政事业单位离退休（款）未归口管理的行政单位离退休（项）</w:t>
      </w:r>
      <w:r>
        <w:rPr>
          <w:rFonts w:ascii="仿宋" w:hAnsi="仿宋" w:eastAsia="仿宋" w:cs="仿宋"/>
          <w:color w:val="000000"/>
          <w:sz w:val="32"/>
          <w:szCs w:val="32"/>
        </w:rPr>
        <w:t xml:space="preserve">: </w:t>
      </w:r>
      <w:r>
        <w:rPr>
          <w:rFonts w:hint="eastAsia" w:ascii="仿宋" w:hAnsi="仿宋" w:eastAsia="仿宋" w:cs="仿宋"/>
          <w:color w:val="000000"/>
          <w:sz w:val="32"/>
          <w:szCs w:val="32"/>
        </w:rPr>
        <w:t>是指人大常委会机关离休人员的支出。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13.社会保障和就业（类）行政事业单位离退休（款）机关事业单位基本养老保险缴费支出（项）</w:t>
      </w:r>
      <w:r>
        <w:rPr>
          <w:rFonts w:ascii="仿宋" w:hAnsi="仿宋" w:eastAsia="仿宋" w:cs="仿宋"/>
          <w:color w:val="000000"/>
          <w:sz w:val="32"/>
          <w:szCs w:val="32"/>
        </w:rPr>
        <w:t>:</w:t>
      </w:r>
      <w:r>
        <w:rPr>
          <w:rFonts w:hint="eastAsia" w:ascii="仿宋" w:hAnsi="仿宋" w:eastAsia="仿宋" w:cs="仿宋"/>
          <w:color w:val="000000"/>
          <w:sz w:val="32"/>
          <w:szCs w:val="32"/>
        </w:rPr>
        <w:t xml:space="preserve"> 是指部门实施养老保险制度由单位缴纳的养老保险的支出。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14.社会保障和就业（类）行政事业单位离退休（款）机关事业单位职业年金缴费支出（项）</w:t>
      </w:r>
      <w:r>
        <w:rPr>
          <w:rFonts w:ascii="仿宋" w:hAnsi="仿宋" w:eastAsia="仿宋" w:cs="仿宋"/>
          <w:color w:val="000000"/>
          <w:sz w:val="32"/>
          <w:szCs w:val="32"/>
        </w:rPr>
        <w:t>:</w:t>
      </w:r>
      <w:r>
        <w:rPr>
          <w:rFonts w:hint="eastAsia" w:ascii="仿宋" w:hAnsi="仿宋" w:eastAsia="仿宋" w:cs="仿宋"/>
          <w:color w:val="000000"/>
          <w:sz w:val="32"/>
          <w:szCs w:val="32"/>
        </w:rPr>
        <w:t xml:space="preserve"> 是指部门实施养老保险制度由单位缴纳的职业年金的支出。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15</w:t>
      </w:r>
      <w:r>
        <w:rPr>
          <w:rFonts w:ascii="仿宋" w:hAnsi="仿宋" w:eastAsia="仿宋" w:cs="仿宋"/>
          <w:color w:val="000000"/>
          <w:sz w:val="32"/>
          <w:szCs w:val="32"/>
        </w:rPr>
        <w:t>.</w:t>
      </w:r>
      <w:r>
        <w:rPr>
          <w:rFonts w:hint="eastAsia" w:ascii="仿宋" w:hAnsi="仿宋" w:eastAsia="仿宋" w:cs="仿宋"/>
          <w:color w:val="000000"/>
          <w:sz w:val="32"/>
          <w:szCs w:val="32"/>
        </w:rPr>
        <w:t>卫生健康（类）行政事业单位医疗（款）行政单位医疗（项）</w:t>
      </w:r>
      <w:r>
        <w:rPr>
          <w:rFonts w:ascii="仿宋" w:hAnsi="仿宋" w:eastAsia="仿宋" w:cs="仿宋"/>
          <w:color w:val="000000"/>
          <w:sz w:val="32"/>
          <w:szCs w:val="32"/>
        </w:rPr>
        <w:t>:</w:t>
      </w:r>
      <w:r>
        <w:rPr>
          <w:rFonts w:hint="eastAsia" w:ascii="仿宋" w:hAnsi="仿宋" w:eastAsia="仿宋" w:cs="仿宋"/>
          <w:color w:val="000000"/>
          <w:sz w:val="32"/>
          <w:szCs w:val="32"/>
        </w:rPr>
        <w:t xml:space="preserve"> 是指人大常委会机关用于缴纳单位基本医疗保险的支出。</w:t>
      </w:r>
    </w:p>
    <w:p>
      <w:pPr>
        <w:spacing w:line="600" w:lineRule="exact"/>
        <w:ind w:firstLine="640"/>
      </w:pPr>
      <w:r>
        <w:rPr>
          <w:rFonts w:hint="eastAsia" w:ascii="仿宋" w:hAnsi="仿宋" w:eastAsia="仿宋" w:cs="仿宋"/>
          <w:color w:val="000000"/>
          <w:sz w:val="32"/>
          <w:szCs w:val="32"/>
        </w:rPr>
        <w:t>16</w:t>
      </w:r>
      <w:r>
        <w:rPr>
          <w:rFonts w:ascii="仿宋" w:hAnsi="仿宋" w:eastAsia="仿宋" w:cs="仿宋"/>
          <w:color w:val="000000"/>
          <w:sz w:val="32"/>
          <w:szCs w:val="32"/>
        </w:rPr>
        <w:t>.</w:t>
      </w:r>
      <w:r>
        <w:rPr>
          <w:rFonts w:hint="eastAsia" w:ascii="仿宋" w:hAnsi="仿宋" w:eastAsia="仿宋" w:cs="仿宋"/>
          <w:color w:val="000000"/>
          <w:sz w:val="32"/>
          <w:szCs w:val="32"/>
        </w:rPr>
        <w:t>卫生健康（类）行政事业单位医疗（款）事业单位医疗（项）</w:t>
      </w:r>
      <w:r>
        <w:rPr>
          <w:rFonts w:ascii="仿宋" w:hAnsi="仿宋" w:eastAsia="仿宋" w:cs="仿宋"/>
          <w:color w:val="000000"/>
          <w:sz w:val="32"/>
          <w:szCs w:val="32"/>
        </w:rPr>
        <w:t>:</w:t>
      </w:r>
      <w:r>
        <w:rPr>
          <w:rFonts w:hint="eastAsia" w:ascii="仿宋" w:hAnsi="仿宋" w:eastAsia="仿宋" w:cs="仿宋"/>
          <w:color w:val="000000"/>
          <w:sz w:val="32"/>
          <w:szCs w:val="32"/>
        </w:rPr>
        <w:t xml:space="preserve"> 是指预算联网信息工作中心用于缴纳单位基本医疗保险的支出。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17</w:t>
      </w:r>
      <w:r>
        <w:rPr>
          <w:rFonts w:ascii="仿宋" w:hAnsi="仿宋" w:eastAsia="仿宋" w:cs="仿宋"/>
          <w:color w:val="000000"/>
          <w:sz w:val="32"/>
          <w:szCs w:val="32"/>
        </w:rPr>
        <w:t>.</w:t>
      </w:r>
      <w:r>
        <w:rPr>
          <w:rFonts w:hint="eastAsia" w:ascii="仿宋" w:hAnsi="仿宋" w:eastAsia="仿宋" w:cs="仿宋"/>
          <w:color w:val="000000"/>
          <w:sz w:val="32"/>
          <w:szCs w:val="32"/>
        </w:rPr>
        <w:t>住房保障支出（类）住房改革支出（款）住房公积金（项）</w:t>
      </w:r>
      <w:r>
        <w:rPr>
          <w:rFonts w:ascii="仿宋" w:hAnsi="仿宋" w:eastAsia="仿宋" w:cs="仿宋"/>
          <w:color w:val="000000"/>
          <w:sz w:val="32"/>
          <w:szCs w:val="32"/>
        </w:rPr>
        <w:t>:</w:t>
      </w:r>
      <w:r>
        <w:rPr>
          <w:rFonts w:hint="eastAsia" w:ascii="仿宋" w:hAnsi="仿宋" w:eastAsia="仿宋" w:cs="仿宋"/>
          <w:color w:val="000000"/>
          <w:sz w:val="32"/>
          <w:szCs w:val="32"/>
        </w:rPr>
        <w:t xml:space="preserve"> 是指按规定为职工缴纳的住房公积金。</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18</w:t>
      </w:r>
      <w:r>
        <w:rPr>
          <w:rFonts w:ascii="仿宋" w:hAnsi="仿宋" w:eastAsia="仿宋" w:cs="仿宋"/>
          <w:color w:val="000000"/>
          <w:sz w:val="32"/>
          <w:szCs w:val="32"/>
        </w:rPr>
        <w:t>.</w:t>
      </w:r>
      <w:r>
        <w:rPr>
          <w:rFonts w:hint="eastAsia" w:ascii="仿宋" w:hAnsi="仿宋" w:eastAsia="仿宋" w:cs="仿宋"/>
          <w:color w:val="000000"/>
          <w:sz w:val="32"/>
          <w:szCs w:val="32"/>
        </w:rPr>
        <w:t xml:space="preserve"> 基本支出：指为保障机构正常运转、完成日常工作任务而发生的人员支出和公用支出。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19</w:t>
      </w:r>
      <w:r>
        <w:rPr>
          <w:rFonts w:ascii="仿宋" w:hAnsi="仿宋" w:eastAsia="仿宋" w:cs="仿宋"/>
          <w:color w:val="000000"/>
          <w:sz w:val="32"/>
          <w:szCs w:val="32"/>
        </w:rPr>
        <w:t>.</w:t>
      </w:r>
      <w:r>
        <w:rPr>
          <w:rFonts w:hint="eastAsia" w:ascii="仿宋" w:hAnsi="仿宋" w:eastAsia="仿宋" w:cs="仿宋"/>
          <w:color w:val="000000"/>
          <w:sz w:val="32"/>
          <w:szCs w:val="32"/>
        </w:rPr>
        <w:t>项目支出：指在基本支出之外为完成特定行政任务和事业发展目标所发生的支出。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20</w:t>
      </w:r>
      <w:r>
        <w:rPr>
          <w:rFonts w:ascii="仿宋" w:hAnsi="仿宋" w:eastAsia="仿宋" w:cs="仿宋"/>
          <w:color w:val="000000"/>
          <w:sz w:val="32"/>
          <w:szCs w:val="32"/>
        </w:rPr>
        <w:t>.</w:t>
      </w:r>
      <w:r>
        <w:rPr>
          <w:rFonts w:hint="eastAsia" w:ascii="仿宋" w:hAnsi="仿宋" w:eastAsia="仿宋" w:cs="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21</w:t>
      </w:r>
      <w:r>
        <w:rPr>
          <w:rFonts w:ascii="仿宋" w:hAnsi="仿宋" w:eastAsia="仿宋" w:cs="仿宋"/>
          <w:color w:val="000000"/>
          <w:sz w:val="32"/>
          <w:szCs w:val="32"/>
        </w:rPr>
        <w:t>.</w:t>
      </w:r>
      <w:r>
        <w:rPr>
          <w:rFonts w:hint="eastAsia" w:ascii="仿宋" w:hAnsi="仿宋" w:eastAsia="仿宋" w:cs="仿宋"/>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jc w:val="center"/>
        <w:rPr>
          <w:rStyle w:val="28"/>
          <w:rFonts w:ascii="黑体" w:hAnsi="黑体" w:eastAsia="黑体"/>
          <w:b w:val="0"/>
        </w:rPr>
      </w:pPr>
      <w:bookmarkStart w:id="48" w:name="_Toc15396614"/>
      <w:r>
        <w:rPr>
          <w:rFonts w:hint="eastAsia" w:ascii="黑体" w:hAnsi="黑体" w:eastAsia="黑体"/>
          <w:sz w:val="44"/>
          <w:szCs w:val="44"/>
        </w:rPr>
        <w:t>第</w:t>
      </w:r>
      <w:r>
        <w:rPr>
          <w:rStyle w:val="28"/>
          <w:rFonts w:hint="eastAsia" w:ascii="黑体" w:hAnsi="黑体" w:eastAsia="黑体"/>
          <w:b w:val="0"/>
        </w:rPr>
        <w:t>四部分 附件</w:t>
      </w:r>
      <w:bookmarkEnd w:id="48"/>
    </w:p>
    <w:p>
      <w:pPr>
        <w:pStyle w:val="2"/>
        <w:spacing w:before="93"/>
        <w:jc w:val="center"/>
      </w:pPr>
    </w:p>
    <w:p>
      <w:pPr>
        <w:jc w:val="center"/>
        <w:rPr>
          <w:rFonts w:ascii="黑体" w:hAnsi="黑体" w:eastAsia="黑体"/>
          <w:sz w:val="44"/>
          <w:szCs w:val="44"/>
        </w:rPr>
      </w:pPr>
      <w:r>
        <w:rPr>
          <w:rFonts w:hint="eastAsia" w:ascii="黑体" w:hAnsi="黑体" w:eastAsia="黑体"/>
          <w:sz w:val="44"/>
          <w:szCs w:val="44"/>
        </w:rPr>
        <w:t>高县人民代表大会常务委员会办公室部门预算绩效自评报告</w:t>
      </w:r>
    </w:p>
    <w:p>
      <w:pPr>
        <w:rPr>
          <w:rFonts w:ascii="仿宋" w:hAnsi="仿宋" w:eastAsia="仿宋"/>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一、部门基本情况</w:t>
      </w:r>
    </w:p>
    <w:p>
      <w:pPr>
        <w:ind w:firstLine="480" w:firstLineChars="150"/>
        <w:rPr>
          <w:rFonts w:ascii="楷体" w:hAnsi="楷体" w:eastAsia="楷体"/>
          <w:sz w:val="32"/>
          <w:szCs w:val="32"/>
        </w:rPr>
      </w:pPr>
      <w:r>
        <w:rPr>
          <w:rFonts w:hint="eastAsia" w:ascii="楷体" w:hAnsi="楷体" w:eastAsia="楷体"/>
          <w:sz w:val="32"/>
          <w:szCs w:val="32"/>
        </w:rPr>
        <w:t>（一）机构组成</w:t>
      </w:r>
    </w:p>
    <w:p>
      <w:pPr>
        <w:snapToGrid w:val="0"/>
        <w:spacing w:line="560" w:lineRule="exact"/>
        <w:ind w:firstLine="640" w:firstLineChars="200"/>
        <w:rPr>
          <w:rFonts w:ascii="仿宋_GB2312" w:hAnsi="仿宋" w:eastAsia="仿宋_GB2312"/>
          <w:sz w:val="32"/>
          <w:szCs w:val="32"/>
        </w:rPr>
      </w:pPr>
      <w:r>
        <w:rPr>
          <w:rFonts w:hint="eastAsia" w:ascii="仿宋" w:hAnsi="仿宋" w:eastAsia="仿宋"/>
          <w:sz w:val="32"/>
          <w:szCs w:val="32"/>
        </w:rPr>
        <w:t>高县人民代表大会常务委员会办公室属一级预算行政单位。</w:t>
      </w:r>
      <w:r>
        <w:rPr>
          <w:rFonts w:eastAsia="仿宋_GB2312"/>
          <w:spacing w:val="6"/>
          <w:sz w:val="32"/>
          <w:szCs w:val="32"/>
        </w:rPr>
        <w:t>高县人民代表大会</w:t>
      </w:r>
      <w:r>
        <w:rPr>
          <w:rFonts w:eastAsia="仿宋_GB2312"/>
          <w:sz w:val="32"/>
          <w:szCs w:val="32"/>
        </w:rPr>
        <w:t>3</w:t>
      </w:r>
      <w:r>
        <w:rPr>
          <w:rFonts w:eastAsia="仿宋_GB2312"/>
          <w:spacing w:val="6"/>
          <w:sz w:val="32"/>
          <w:szCs w:val="32"/>
        </w:rPr>
        <w:t>个</w:t>
      </w:r>
      <w:r>
        <w:rPr>
          <w:rFonts w:hint="eastAsia" w:eastAsia="仿宋_GB2312"/>
          <w:spacing w:val="6"/>
          <w:sz w:val="32"/>
          <w:szCs w:val="32"/>
        </w:rPr>
        <w:t>正科级</w:t>
      </w:r>
      <w:r>
        <w:rPr>
          <w:rFonts w:eastAsia="仿宋_GB2312"/>
          <w:spacing w:val="6"/>
          <w:sz w:val="32"/>
          <w:szCs w:val="32"/>
        </w:rPr>
        <w:t>专门委员会</w:t>
      </w:r>
      <w:r>
        <w:rPr>
          <w:rFonts w:hint="eastAsia" w:eastAsia="仿宋_GB2312"/>
          <w:spacing w:val="6"/>
          <w:sz w:val="32"/>
          <w:szCs w:val="32"/>
        </w:rPr>
        <w:t>，即：</w:t>
      </w:r>
      <w:r>
        <w:rPr>
          <w:rFonts w:eastAsia="仿宋_GB2312"/>
          <w:sz w:val="32"/>
          <w:szCs w:val="32"/>
        </w:rPr>
        <w:t>社会建设</w:t>
      </w:r>
      <w:r>
        <w:rPr>
          <w:rFonts w:eastAsia="仿宋_GB2312"/>
          <w:spacing w:val="6"/>
          <w:sz w:val="32"/>
          <w:szCs w:val="32"/>
        </w:rPr>
        <w:t>委员会</w:t>
      </w:r>
      <w:r>
        <w:rPr>
          <w:rFonts w:hint="eastAsia" w:eastAsia="仿宋_GB2312"/>
          <w:spacing w:val="6"/>
          <w:sz w:val="32"/>
          <w:szCs w:val="32"/>
        </w:rPr>
        <w:t>、教育科学文化卫生委员会、城乡建设环境资源保护委员会</w:t>
      </w:r>
      <w:r>
        <w:rPr>
          <w:rFonts w:hint="eastAsia" w:ascii="仿宋" w:hAnsi="仿宋" w:eastAsia="仿宋"/>
          <w:sz w:val="32"/>
          <w:szCs w:val="32"/>
        </w:rPr>
        <w:t>。高县人民代表大会常务委员会下设5个正科级工作机构，即：办公室、代表工作委员、经济和预算工作委员会、法制工作委员会、农业与农村工作委员会。办公室下设3个股级行政部门和1个股级事业部门，3个股级行政部门即行政科、信访科、规范性文件备案审查科，1个股级事业单位即预算联网信息工作中心（不独立核算）。</w:t>
      </w:r>
    </w:p>
    <w:p>
      <w:pPr>
        <w:ind w:firstLine="480" w:firstLineChars="150"/>
        <w:rPr>
          <w:rFonts w:ascii="楷体" w:hAnsi="楷体" w:eastAsia="楷体"/>
          <w:sz w:val="32"/>
          <w:szCs w:val="32"/>
        </w:rPr>
      </w:pPr>
      <w:r>
        <w:rPr>
          <w:rFonts w:hint="eastAsia" w:ascii="楷体" w:hAnsi="楷体" w:eastAsia="楷体"/>
          <w:sz w:val="32"/>
          <w:szCs w:val="32"/>
        </w:rPr>
        <w:t>（二）机构职能</w:t>
      </w:r>
    </w:p>
    <w:p>
      <w:pPr>
        <w:ind w:firstLine="645"/>
        <w:rPr>
          <w:rFonts w:ascii="仿宋" w:hAnsi="仿宋" w:eastAsia="仿宋"/>
          <w:sz w:val="32"/>
          <w:szCs w:val="32"/>
        </w:rPr>
      </w:pPr>
      <w:r>
        <w:rPr>
          <w:rFonts w:hint="eastAsia" w:ascii="仿宋" w:hAnsi="仿宋" w:eastAsia="仿宋"/>
          <w:sz w:val="32"/>
          <w:szCs w:val="32"/>
        </w:rPr>
        <w:t>高县人民代表大会常务委员会办公室是高县人民代表大会常务委员会的办事工作机构，主要职责是：承担县人大常委会各种会议会务工作，负责会议决定事预和审议意见的督办工作；负责机关文书、档案管理工作及信息网络和办公自动化建设工作；负责机关行政管理、财务管理、国有资产管理工作；负责机关精神文明建设、人事管理、干部教育和信访工作;办理县人大常委会和主任会议交办的其他事项。</w:t>
      </w:r>
    </w:p>
    <w:p>
      <w:pPr>
        <w:ind w:firstLine="645"/>
        <w:rPr>
          <w:rFonts w:ascii="仿宋_GB2312" w:hAnsi="仿宋" w:eastAsia="仿宋_GB2312"/>
          <w:b/>
          <w:sz w:val="32"/>
          <w:szCs w:val="32"/>
        </w:rPr>
      </w:pPr>
      <w:r>
        <w:rPr>
          <w:rFonts w:hint="eastAsia" w:ascii="楷体" w:hAnsi="楷体" w:eastAsia="楷体"/>
          <w:sz w:val="32"/>
          <w:szCs w:val="32"/>
        </w:rPr>
        <w:t>（三）人员概况</w:t>
      </w:r>
    </w:p>
    <w:p>
      <w:pPr>
        <w:ind w:firstLine="640" w:firstLineChars="200"/>
        <w:rPr>
          <w:rFonts w:ascii="仿宋" w:hAnsi="仿宋" w:eastAsia="仿宋"/>
          <w:sz w:val="32"/>
          <w:szCs w:val="32"/>
        </w:rPr>
      </w:pPr>
      <w:r>
        <w:rPr>
          <w:rFonts w:ascii="仿宋" w:hAnsi="仿宋" w:eastAsia="仿宋"/>
          <w:sz w:val="32"/>
          <w:szCs w:val="32"/>
        </w:rPr>
        <w:t>截至202</w:t>
      </w:r>
      <w:r>
        <w:rPr>
          <w:rFonts w:hint="eastAsia" w:ascii="仿宋" w:hAnsi="仿宋" w:eastAsia="仿宋"/>
          <w:sz w:val="32"/>
          <w:szCs w:val="32"/>
        </w:rPr>
        <w:t>4</w:t>
      </w:r>
      <w:r>
        <w:rPr>
          <w:rFonts w:ascii="仿宋" w:hAnsi="仿宋" w:eastAsia="仿宋"/>
          <w:sz w:val="32"/>
          <w:szCs w:val="32"/>
        </w:rPr>
        <w:t>年末，</w:t>
      </w:r>
      <w:r>
        <w:rPr>
          <w:rFonts w:hint="eastAsia" w:ascii="仿宋" w:hAnsi="仿宋" w:eastAsia="仿宋"/>
          <w:sz w:val="32"/>
          <w:szCs w:val="32"/>
        </w:rPr>
        <w:t>部门编制人数为17人，其中：行政编制14人，机关工勤编制1人，事业编制2人。部门年末实有人数40人，其中：行政人员37人，机关工勤人员1人，事业人员2人。离休人员1人。</w:t>
      </w:r>
    </w:p>
    <w:p>
      <w:pPr>
        <w:ind w:firstLine="480" w:firstLineChars="150"/>
        <w:rPr>
          <w:rFonts w:ascii="黑体" w:hAnsi="黑体" w:eastAsia="黑体"/>
          <w:sz w:val="32"/>
          <w:szCs w:val="32"/>
        </w:rPr>
      </w:pPr>
      <w:r>
        <w:rPr>
          <w:rFonts w:hint="eastAsia" w:ascii="黑体" w:hAnsi="黑体" w:eastAsia="黑体"/>
          <w:sz w:val="32"/>
          <w:szCs w:val="32"/>
        </w:rPr>
        <w:t>二、部门资金收支情况</w:t>
      </w:r>
    </w:p>
    <w:p>
      <w:pPr>
        <w:ind w:firstLine="640" w:firstLineChars="200"/>
        <w:rPr>
          <w:rFonts w:ascii="楷体" w:hAnsi="楷体" w:eastAsia="楷体"/>
          <w:sz w:val="32"/>
          <w:szCs w:val="32"/>
        </w:rPr>
      </w:pPr>
      <w:r>
        <w:rPr>
          <w:rFonts w:hint="eastAsia" w:ascii="楷体" w:hAnsi="楷体" w:eastAsia="楷体"/>
          <w:sz w:val="32"/>
          <w:szCs w:val="32"/>
        </w:rPr>
        <w:t>（一）收入情况</w:t>
      </w:r>
    </w:p>
    <w:p>
      <w:pPr>
        <w:ind w:firstLine="640" w:firstLineChars="200"/>
        <w:rPr>
          <w:rFonts w:ascii="仿宋" w:hAnsi="仿宋" w:eastAsia="仿宋"/>
          <w:sz w:val="32"/>
          <w:szCs w:val="32"/>
        </w:rPr>
      </w:pPr>
      <w:r>
        <w:rPr>
          <w:rFonts w:hint="eastAsia" w:ascii="仿宋" w:hAnsi="仿宋" w:eastAsia="仿宋"/>
          <w:sz w:val="32"/>
          <w:szCs w:val="32"/>
        </w:rPr>
        <w:t xml:space="preserve">2024年年初部门预算收入总额 </w:t>
      </w:r>
      <w:r>
        <w:rPr>
          <w:rFonts w:hint="eastAsia" w:ascii="仿宋" w:hAnsi="仿宋" w:eastAsia="仿宋" w:cs="仿宋"/>
          <w:color w:val="000000"/>
          <w:sz w:val="32"/>
          <w:szCs w:val="32"/>
        </w:rPr>
        <w:t>1286.11</w:t>
      </w:r>
      <w:r>
        <w:rPr>
          <w:rFonts w:hint="eastAsia" w:ascii="仿宋" w:hAnsi="仿宋" w:eastAsia="仿宋"/>
          <w:sz w:val="32"/>
          <w:szCs w:val="32"/>
        </w:rPr>
        <w:t xml:space="preserve">万元，部门决算收入总额 </w:t>
      </w:r>
      <w:r>
        <w:rPr>
          <w:rFonts w:hint="eastAsia" w:ascii="仿宋" w:hAnsi="仿宋" w:eastAsia="仿宋" w:cs="仿宋"/>
          <w:color w:val="000000"/>
          <w:sz w:val="32"/>
          <w:szCs w:val="32"/>
        </w:rPr>
        <w:t>1436.22</w:t>
      </w:r>
      <w:r>
        <w:rPr>
          <w:rFonts w:hint="eastAsia" w:ascii="仿宋" w:hAnsi="仿宋" w:eastAsia="仿宋"/>
          <w:sz w:val="32"/>
          <w:szCs w:val="32"/>
        </w:rPr>
        <w:t>万元。</w:t>
      </w:r>
    </w:p>
    <w:p>
      <w:pPr>
        <w:ind w:firstLine="640" w:firstLineChars="200"/>
        <w:jc w:val="left"/>
        <w:rPr>
          <w:rFonts w:ascii="仿宋" w:hAnsi="仿宋" w:eastAsia="仿宋"/>
          <w:sz w:val="32"/>
          <w:szCs w:val="32"/>
        </w:rPr>
      </w:pPr>
      <w:r>
        <w:rPr>
          <w:rFonts w:hint="eastAsia" w:ascii="楷体" w:hAnsi="楷体" w:eastAsia="楷体"/>
          <w:sz w:val="32"/>
          <w:szCs w:val="32"/>
        </w:rPr>
        <w:t>（二）支出情况</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 xml:space="preserve">2024 年年初部门预算支出总额 </w:t>
      </w:r>
      <w:r>
        <w:rPr>
          <w:rFonts w:hint="eastAsia" w:ascii="仿宋" w:hAnsi="仿宋" w:eastAsia="仿宋" w:cs="仿宋"/>
          <w:color w:val="000000"/>
          <w:sz w:val="32"/>
          <w:szCs w:val="32"/>
        </w:rPr>
        <w:t>1286.11</w:t>
      </w:r>
      <w:r>
        <w:rPr>
          <w:rFonts w:hint="eastAsia" w:ascii="仿宋" w:hAnsi="仿宋" w:eastAsia="仿宋"/>
          <w:sz w:val="32"/>
          <w:szCs w:val="32"/>
        </w:rPr>
        <w:t xml:space="preserve"> 万元，部门决算支出总额 </w:t>
      </w:r>
      <w:r>
        <w:rPr>
          <w:rFonts w:hint="eastAsia" w:ascii="仿宋" w:hAnsi="仿宋" w:eastAsia="仿宋" w:cs="仿宋"/>
          <w:color w:val="000000"/>
          <w:sz w:val="32"/>
          <w:szCs w:val="32"/>
        </w:rPr>
        <w:t>1436.22</w:t>
      </w:r>
      <w:r>
        <w:rPr>
          <w:rFonts w:hint="eastAsia" w:ascii="仿宋" w:hAnsi="仿宋" w:eastAsia="仿宋"/>
          <w:sz w:val="32"/>
          <w:szCs w:val="32"/>
        </w:rPr>
        <w:t xml:space="preserve"> 万元。其中：人员经费支出857.61万元，公用经费支出98.96万元，项目支出479.65万元。2024年，基本支出保证了部门的正常运行和日常工作的正常开展，项目支出保障了重点工作的开展。一是组织召开县第十七届人大四次会议及县人大常委会会议等；二是组织开展专题询问、视察调研、执法检查、民生实事项目人大代表票决制、收集督（交）办代表议案建议；三是组织开展县镇人大代表活动（述职）；四是组织开展人大代表（干部）培训；五是参加市“四型”机关活动；六是开展人大代表家（联络）站运行维护；七是深化人大主席团规范化建设等其他工作。完成了县委、县政府重点工作任务，各项工作项目绩效指标完成情况良好。</w:t>
      </w:r>
    </w:p>
    <w:p>
      <w:pPr>
        <w:ind w:firstLine="640" w:firstLineChars="200"/>
        <w:jc w:val="left"/>
        <w:rPr>
          <w:rFonts w:ascii="楷体" w:hAnsi="楷体" w:eastAsia="楷体"/>
          <w:sz w:val="32"/>
          <w:szCs w:val="32"/>
        </w:rPr>
      </w:pPr>
      <w:r>
        <w:rPr>
          <w:rFonts w:ascii="楷体" w:hAnsi="楷体" w:eastAsia="楷体"/>
          <w:sz w:val="32"/>
          <w:szCs w:val="32"/>
        </w:rPr>
        <w:t>（三）结余分配和结转结余情况。</w:t>
      </w:r>
      <w:r>
        <w:rPr>
          <w:rFonts w:ascii="仿宋" w:hAnsi="仿宋" w:eastAsia="仿宋"/>
          <w:sz w:val="32"/>
          <w:szCs w:val="32"/>
        </w:rPr>
        <w:t>202</w:t>
      </w:r>
      <w:r>
        <w:rPr>
          <w:rFonts w:hint="eastAsia" w:ascii="仿宋" w:hAnsi="仿宋" w:eastAsia="仿宋"/>
          <w:sz w:val="32"/>
          <w:szCs w:val="32"/>
        </w:rPr>
        <w:t>4</w:t>
      </w:r>
      <w:r>
        <w:rPr>
          <w:rFonts w:ascii="仿宋" w:hAnsi="仿宋" w:eastAsia="仿宋"/>
          <w:sz w:val="32"/>
          <w:szCs w:val="32"/>
        </w:rPr>
        <w:t>年</w:t>
      </w:r>
      <w:r>
        <w:rPr>
          <w:rFonts w:hint="eastAsia" w:ascii="仿宋" w:hAnsi="仿宋" w:eastAsia="仿宋"/>
          <w:sz w:val="32"/>
          <w:szCs w:val="32"/>
        </w:rPr>
        <w:t>部门决算无结转结余情况</w:t>
      </w:r>
      <w:r>
        <w:rPr>
          <w:rFonts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三、部门预算绩效分析</w:t>
      </w:r>
    </w:p>
    <w:p>
      <w:pPr>
        <w:ind w:firstLine="640" w:firstLineChars="200"/>
        <w:rPr>
          <w:rFonts w:ascii="楷体" w:hAnsi="楷体" w:eastAsia="楷体"/>
          <w:sz w:val="32"/>
          <w:szCs w:val="32"/>
        </w:rPr>
      </w:pPr>
      <w:r>
        <w:rPr>
          <w:rFonts w:hint="eastAsia" w:ascii="楷体" w:hAnsi="楷体" w:eastAsia="楷体"/>
          <w:sz w:val="32"/>
          <w:szCs w:val="32"/>
        </w:rPr>
        <w:t>（一） 部门预算总体绩效分析</w:t>
      </w:r>
    </w:p>
    <w:p>
      <w:pPr>
        <w:ind w:firstLine="642" w:firstLineChars="200"/>
        <w:rPr>
          <w:rFonts w:ascii="楷体" w:hAnsi="楷体" w:eastAsia="楷体"/>
          <w:b/>
          <w:sz w:val="32"/>
          <w:szCs w:val="32"/>
        </w:rPr>
      </w:pPr>
      <w:r>
        <w:rPr>
          <w:rFonts w:hint="eastAsia" w:ascii="楷体" w:hAnsi="楷体" w:eastAsia="楷体"/>
          <w:b/>
          <w:sz w:val="32"/>
          <w:szCs w:val="32"/>
        </w:rPr>
        <w:t>1.履职效能（自评得分 15 分）。</w:t>
      </w:r>
    </w:p>
    <w:p>
      <w:pPr>
        <w:ind w:firstLine="642" w:firstLineChars="200"/>
        <w:rPr>
          <w:rFonts w:ascii="仿宋" w:hAnsi="仿宋" w:eastAsia="仿宋"/>
          <w:kern w:val="0"/>
          <w:sz w:val="32"/>
          <w:szCs w:val="32"/>
        </w:rPr>
      </w:pPr>
      <w:r>
        <w:rPr>
          <w:rFonts w:hint="eastAsia" w:ascii="仿宋" w:hAnsi="仿宋" w:eastAsia="仿宋"/>
          <w:b/>
          <w:kern w:val="0"/>
          <w:sz w:val="32"/>
          <w:szCs w:val="32"/>
        </w:rPr>
        <w:t>（1）强化监督助推经济社会发展。</w:t>
      </w:r>
      <w:r>
        <w:rPr>
          <w:rFonts w:hint="eastAsia" w:ascii="仿宋" w:hAnsi="仿宋" w:eastAsia="仿宋"/>
          <w:kern w:val="0"/>
          <w:sz w:val="32"/>
          <w:szCs w:val="32"/>
        </w:rPr>
        <w:t>听取审议《高县国民经济和社会发展第十四个五年规划和二〇三五年远景目标纲要》调整方案、财政预算执行情况等报告，听取审议国有资产、行政事业资产管理、政府债务管理等报告，听取审议金融业支持地方经济和社会发展情况的报告。审议县政府推进乡村振兴战略、粮油现代农业园区建设情况的报告。开展《中华人民共和国农产品质量安全法》贯彻实施情况的执法检查。听取法治政府建设、民事审判、落实宽严相济刑事司法政策及未成年人综合司法保护工作推进情况的报告。全年向市人大常委会报备决议决定14件，对县政府报送的《高县扶持农村客运发展实施办法》等3件行政规范性文件和镇人大报送的5件决议决定开展备案审查。率先在全省建立镇人大备案审查工作机制，《高县人大：当好“直通车”，打通备案审查“最后一公里”》经验做法被《法治日报》《四川日报》《四川人大》刊发。</w:t>
      </w:r>
    </w:p>
    <w:p>
      <w:pPr>
        <w:ind w:firstLine="642" w:firstLineChars="200"/>
        <w:rPr>
          <w:rFonts w:ascii="仿宋" w:hAnsi="仿宋" w:eastAsia="仿宋"/>
          <w:kern w:val="0"/>
          <w:sz w:val="32"/>
          <w:szCs w:val="32"/>
        </w:rPr>
      </w:pPr>
      <w:r>
        <w:rPr>
          <w:rFonts w:hint="eastAsia" w:ascii="仿宋" w:hAnsi="仿宋" w:eastAsia="仿宋"/>
          <w:b/>
          <w:kern w:val="0"/>
          <w:sz w:val="32"/>
          <w:szCs w:val="32"/>
        </w:rPr>
        <w:t>（2）不断丰富代表联系人民群众内容形式。</w:t>
      </w:r>
      <w:r>
        <w:rPr>
          <w:rFonts w:hint="eastAsia" w:ascii="仿宋" w:hAnsi="仿宋" w:eastAsia="仿宋"/>
          <w:kern w:val="0"/>
          <w:sz w:val="32"/>
          <w:szCs w:val="32"/>
        </w:rPr>
        <w:t>一年来终止县人大代表资格22人，补选县人大代表21人，举办干部履职能力提升培训班1期，参加省市县培训107人（次），组织代表参加视察调研执法检查等活动4100余人（次）。评选“县级样板”代表联络站5个、“县级出色”代表联络站8个。组织代表走访、接待、帮助群众1.82万人（次），收集反映问题810件（次），帮助解决群众急难愁盼问题700余件（次）。全县共有县镇413名直选人大代表回原选区开展述职活动。县十七届人大三次会议以来代表提出议案1件、建议117件，全部办理完毕，代表满意率和基本满意率达到100%。</w:t>
      </w:r>
    </w:p>
    <w:p>
      <w:pPr>
        <w:ind w:firstLine="642" w:firstLineChars="200"/>
        <w:rPr>
          <w:rFonts w:ascii="仿宋" w:hAnsi="仿宋" w:eastAsia="仿宋"/>
          <w:kern w:val="0"/>
          <w:sz w:val="32"/>
          <w:szCs w:val="32"/>
        </w:rPr>
      </w:pPr>
      <w:r>
        <w:rPr>
          <w:rFonts w:hint="eastAsia" w:ascii="仿宋" w:hAnsi="仿宋" w:eastAsia="仿宋"/>
          <w:b/>
          <w:kern w:val="0"/>
          <w:sz w:val="32"/>
          <w:szCs w:val="32"/>
        </w:rPr>
        <w:t>（3）坚持群众路线切实回应社会关切。</w:t>
      </w:r>
      <w:r>
        <w:rPr>
          <w:rFonts w:hint="eastAsia" w:ascii="仿宋" w:hAnsi="仿宋" w:eastAsia="仿宋"/>
          <w:kern w:val="0"/>
          <w:sz w:val="32"/>
          <w:szCs w:val="32"/>
        </w:rPr>
        <w:t>专题询问未成年人保护工作，开展“人大代表在行动——未成年人保护专项行动”。听取审议环境状况和环境目标完成情况、国家储备林建设项目推进情况的报告。推动票决制工作在县镇两级落地落实，2024年县级10件民生实事全部圆满完成，66件镇级票决民生实事有序推进，票决民生实事项目成效明显，获得群众一致好评。</w:t>
      </w:r>
    </w:p>
    <w:p>
      <w:pPr>
        <w:ind w:firstLine="642" w:firstLineChars="200"/>
        <w:rPr>
          <w:rFonts w:ascii="楷体" w:hAnsi="楷体" w:eastAsia="楷体"/>
          <w:b/>
          <w:sz w:val="32"/>
          <w:szCs w:val="32"/>
        </w:rPr>
      </w:pPr>
      <w:r>
        <w:rPr>
          <w:rFonts w:hint="eastAsia" w:ascii="楷体" w:hAnsi="楷体" w:eastAsia="楷体"/>
          <w:b/>
          <w:sz w:val="32"/>
          <w:szCs w:val="32"/>
        </w:rPr>
        <w:t>2.预算管理（自评得分 21.15 分）。</w:t>
      </w:r>
    </w:p>
    <w:p>
      <w:pPr>
        <w:widowControl/>
        <w:spacing w:line="315" w:lineRule="atLeast"/>
        <w:ind w:firstLine="480"/>
        <w:rPr>
          <w:rFonts w:ascii="仿宋" w:hAnsi="仿宋" w:eastAsia="仿宋" w:cs="仿宋"/>
          <w:color w:val="000000"/>
          <w:sz w:val="32"/>
          <w:szCs w:val="32"/>
        </w:rPr>
      </w:pPr>
      <w:r>
        <w:rPr>
          <w:rFonts w:hint="eastAsia" w:ascii="仿宋" w:hAnsi="仿宋" w:eastAsia="仿宋" w:cs="仿宋"/>
          <w:color w:val="000000"/>
          <w:sz w:val="32"/>
          <w:szCs w:val="32"/>
        </w:rPr>
        <w:t>（1）支出执行进度：1－9月部门预算执行数 993.99万元、占预算数1506.25万元的65.99%；1－11月部门预算执行数1169.9 万元、占预算数1506.25万元的77.67%。自评得分8.61 分。</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（2）预算年终结余：部门整体预算结余70.03万元，部门整体预算结余率为 4.65%。自评得分 9.54 分。</w:t>
      </w:r>
    </w:p>
    <w:p>
      <w:pPr>
        <w:ind w:firstLine="640" w:firstLineChars="200"/>
        <w:rPr>
          <w:rFonts w:ascii="仿宋" w:hAnsi="仿宋" w:eastAsia="仿宋"/>
          <w:sz w:val="32"/>
          <w:szCs w:val="32"/>
          <w:highlight w:val="yellow"/>
        </w:rPr>
      </w:pPr>
      <w:r>
        <w:rPr>
          <w:rFonts w:hint="eastAsia" w:ascii="仿宋" w:hAnsi="仿宋" w:eastAsia="仿宋"/>
          <w:sz w:val="32"/>
          <w:szCs w:val="32"/>
        </w:rPr>
        <w:t>（3）严控一般性支出：  2024年全年安排“三公”经费、会议费、培训费、差旅费等八类一般性支出财政拨款年初预算数101万元，较上年 96 万元增加5 万元，增长5.2%；2024 年一般性支出财政拨款预算执行数73.63 万元，较上年 75.33万元减少1.7 万元，下降 2.26%。自评得分3分。</w:t>
      </w:r>
    </w:p>
    <w:p>
      <w:pPr>
        <w:ind w:firstLine="642" w:firstLineChars="200"/>
        <w:rPr>
          <w:rFonts w:ascii="楷体" w:hAnsi="楷体" w:eastAsia="楷体"/>
          <w:b/>
          <w:sz w:val="32"/>
          <w:szCs w:val="32"/>
        </w:rPr>
      </w:pPr>
      <w:r>
        <w:rPr>
          <w:rFonts w:hint="eastAsia" w:ascii="楷体" w:hAnsi="楷体" w:eastAsia="楷体"/>
          <w:b/>
          <w:sz w:val="32"/>
          <w:szCs w:val="32"/>
        </w:rPr>
        <w:t>3.财务管理（自评得分 10 分）。</w:t>
      </w:r>
    </w:p>
    <w:p>
      <w:pPr>
        <w:ind w:firstLine="640" w:firstLineChars="200"/>
        <w:rPr>
          <w:rFonts w:ascii="仿宋" w:hAnsi="仿宋" w:eastAsia="仿宋"/>
          <w:sz w:val="32"/>
          <w:szCs w:val="32"/>
        </w:rPr>
      </w:pPr>
      <w:r>
        <w:rPr>
          <w:rFonts w:hint="eastAsia" w:ascii="仿宋" w:hAnsi="仿宋" w:eastAsia="仿宋"/>
          <w:sz w:val="32"/>
          <w:szCs w:val="32"/>
        </w:rPr>
        <w:t>（1）财务管理制度：近年来，先后制定印发了《高县人大常委会机关管理制度》、《机关财务管理制度》、《资产管理制度》等相关制度，对本部门预决算管理、收支管理、政府采购、资产管理等方面作出相关规定并督促指导县人大各专委、机关各委（室）严格执行。自评得分 4 分。</w:t>
      </w:r>
    </w:p>
    <w:p>
      <w:pPr>
        <w:ind w:firstLine="640" w:firstLineChars="200"/>
        <w:rPr>
          <w:rFonts w:ascii="仿宋" w:hAnsi="仿宋" w:eastAsia="仿宋"/>
          <w:sz w:val="32"/>
          <w:szCs w:val="32"/>
        </w:rPr>
      </w:pPr>
      <w:r>
        <w:rPr>
          <w:rFonts w:hint="eastAsia" w:ascii="仿宋" w:hAnsi="仿宋" w:eastAsia="仿宋"/>
          <w:sz w:val="32"/>
          <w:szCs w:val="32"/>
        </w:rPr>
        <w:t>（2）财务岗位设置：部门严格按照财务管理制度要求，合理设置财务工作岗位，明确职责权限，并严格实行不相容岗位相分离、定期轮岗制度。自评得分 2 分。</w:t>
      </w:r>
    </w:p>
    <w:p>
      <w:pPr>
        <w:ind w:firstLine="640" w:firstLineChars="200"/>
        <w:rPr>
          <w:rFonts w:ascii="仿宋" w:hAnsi="仿宋" w:eastAsia="仿宋"/>
          <w:sz w:val="32"/>
          <w:szCs w:val="32"/>
        </w:rPr>
      </w:pPr>
      <w:r>
        <w:rPr>
          <w:rFonts w:hint="eastAsia" w:ascii="仿宋" w:hAnsi="仿宋" w:eastAsia="仿宋"/>
          <w:sz w:val="32"/>
          <w:szCs w:val="32"/>
        </w:rPr>
        <w:t>（3）资金使用规范：部门资金使用均符合相关财务管理制度规定，不存在超预算或无预算安排、超范围超标准使用经费、违规使用“三公”经费、滥发津贴补贴等情况。自评得分 4 分。</w:t>
      </w:r>
    </w:p>
    <w:p>
      <w:pPr>
        <w:ind w:firstLine="642" w:firstLineChars="200"/>
        <w:rPr>
          <w:rFonts w:ascii="楷体" w:hAnsi="楷体" w:eastAsia="楷体"/>
          <w:b/>
          <w:sz w:val="32"/>
          <w:szCs w:val="32"/>
        </w:rPr>
      </w:pPr>
      <w:r>
        <w:rPr>
          <w:rFonts w:hint="eastAsia" w:ascii="楷体" w:hAnsi="楷体" w:eastAsia="楷体"/>
          <w:b/>
          <w:sz w:val="32"/>
          <w:szCs w:val="32"/>
        </w:rPr>
        <w:t>4.资产管理（自评得分 9 分）。</w:t>
      </w:r>
    </w:p>
    <w:p>
      <w:pPr>
        <w:ind w:firstLine="640" w:firstLineChars="200"/>
        <w:rPr>
          <w:rFonts w:ascii="仿宋" w:hAnsi="仿宋" w:eastAsia="仿宋"/>
          <w:sz w:val="32"/>
          <w:szCs w:val="32"/>
        </w:rPr>
      </w:pPr>
      <w:r>
        <w:rPr>
          <w:rFonts w:hint="eastAsia" w:ascii="仿宋" w:hAnsi="仿宋" w:eastAsia="仿宋"/>
          <w:sz w:val="32"/>
          <w:szCs w:val="32"/>
        </w:rPr>
        <w:t>（1）资产利用率： 2024 年部门办公家具账面价值49.24万元，超期在用账面价值14.12万元，超最低使用年限资产利用率28.67%；办公设备账面价值161.39 万元，超期在用账面价值49.88万元，超最低使用年限资产利用率30.91%。自评得分 5 分。</w:t>
      </w:r>
    </w:p>
    <w:p>
      <w:pPr>
        <w:ind w:firstLine="640" w:firstLineChars="200"/>
        <w:rPr>
          <w:rFonts w:ascii="仿宋" w:hAnsi="仿宋" w:eastAsia="仿宋"/>
          <w:sz w:val="32"/>
          <w:szCs w:val="32"/>
        </w:rPr>
      </w:pPr>
      <w:r>
        <w:rPr>
          <w:rFonts w:hint="eastAsia" w:ascii="仿宋" w:hAnsi="仿宋" w:eastAsia="仿宋"/>
          <w:sz w:val="32"/>
          <w:szCs w:val="32"/>
        </w:rPr>
        <w:t>（2）资产盘活率： 2024年度无闲置资产。自评得分 4分。</w:t>
      </w:r>
    </w:p>
    <w:p>
      <w:pPr>
        <w:ind w:firstLine="642" w:firstLineChars="200"/>
        <w:rPr>
          <w:rFonts w:ascii="楷体" w:hAnsi="楷体" w:eastAsia="楷体"/>
          <w:b/>
          <w:sz w:val="32"/>
          <w:szCs w:val="32"/>
        </w:rPr>
      </w:pPr>
      <w:r>
        <w:rPr>
          <w:rFonts w:hint="eastAsia" w:ascii="楷体" w:hAnsi="楷体" w:eastAsia="楷体"/>
          <w:b/>
          <w:sz w:val="32"/>
          <w:szCs w:val="32"/>
        </w:rPr>
        <w:t>5.采购管理（自评得分 5.7分）。</w:t>
      </w:r>
    </w:p>
    <w:p>
      <w:pPr>
        <w:ind w:firstLine="640" w:firstLineChars="200"/>
        <w:rPr>
          <w:rFonts w:ascii="仿宋" w:hAnsi="仿宋" w:eastAsia="仿宋"/>
          <w:sz w:val="32"/>
          <w:szCs w:val="32"/>
        </w:rPr>
      </w:pPr>
      <w:r>
        <w:rPr>
          <w:rFonts w:hint="eastAsia" w:ascii="仿宋" w:hAnsi="仿宋" w:eastAsia="仿宋"/>
          <w:sz w:val="32"/>
          <w:szCs w:val="32"/>
        </w:rPr>
        <w:t>（1）支持中小企业发展：严格执行政府采购促进中小企业发展相关管理办法，2024年有1个项目采取</w:t>
      </w:r>
      <w:r>
        <w:rPr>
          <w:rFonts w:hint="eastAsia" w:ascii="仿宋_GB2312" w:hAnsi="仿宋" w:eastAsia="仿宋_GB2312" w:cs="仿宋"/>
          <w:color w:val="000000"/>
          <w:sz w:val="32"/>
          <w:szCs w:val="32"/>
        </w:rPr>
        <w:t>磋商</w:t>
      </w:r>
      <w:r>
        <w:rPr>
          <w:rFonts w:hint="eastAsia" w:ascii="仿宋" w:hAnsi="仿宋" w:eastAsia="仿宋"/>
          <w:sz w:val="32"/>
          <w:szCs w:val="32"/>
        </w:rPr>
        <w:t>形式预留专门面向中小企业采购份额，全年授予中小企业合同金额</w:t>
      </w:r>
      <w:r>
        <w:rPr>
          <w:rFonts w:hint="eastAsia" w:ascii="仿宋_GB2312" w:hAnsi="仿宋" w:eastAsia="仿宋_GB2312" w:cs="仿宋"/>
          <w:color w:val="000000"/>
          <w:sz w:val="32"/>
          <w:szCs w:val="32"/>
        </w:rPr>
        <w:t>94.58</w:t>
      </w:r>
      <w:r>
        <w:rPr>
          <w:rFonts w:hint="eastAsia" w:ascii="仿宋" w:hAnsi="仿宋" w:eastAsia="仿宋"/>
          <w:sz w:val="32"/>
          <w:szCs w:val="32"/>
        </w:rPr>
        <w:t>万元，其中：授予小微企业合同金额</w:t>
      </w:r>
      <w:r>
        <w:rPr>
          <w:rFonts w:hint="eastAsia" w:ascii="仿宋_GB2312" w:hAnsi="仿宋" w:eastAsia="仿宋_GB2312" w:cs="仿宋"/>
          <w:color w:val="000000"/>
          <w:sz w:val="32"/>
          <w:szCs w:val="32"/>
        </w:rPr>
        <w:t>94.58</w:t>
      </w:r>
      <w:r>
        <w:rPr>
          <w:rFonts w:hint="eastAsia" w:ascii="仿宋" w:hAnsi="仿宋" w:eastAsia="仿宋"/>
          <w:sz w:val="32"/>
          <w:szCs w:val="32"/>
        </w:rPr>
        <w:t>万元。自评得分3分。</w:t>
      </w:r>
    </w:p>
    <w:p>
      <w:pPr>
        <w:ind w:firstLine="640" w:firstLineChars="200"/>
        <w:rPr>
          <w:rFonts w:ascii="仿宋" w:hAnsi="仿宋" w:eastAsia="仿宋"/>
          <w:sz w:val="32"/>
          <w:szCs w:val="32"/>
        </w:rPr>
      </w:pPr>
      <w:r>
        <w:rPr>
          <w:rFonts w:hint="eastAsia" w:ascii="仿宋" w:hAnsi="仿宋" w:eastAsia="仿宋"/>
          <w:sz w:val="32"/>
          <w:szCs w:val="32"/>
        </w:rPr>
        <w:t>（2）采购执行率：当年政府采购实际支付总金额为</w:t>
      </w:r>
      <w:r>
        <w:rPr>
          <w:rFonts w:hint="eastAsia" w:ascii="仿宋_GB2312" w:hAnsi="仿宋" w:eastAsia="仿宋_GB2312" w:cs="仿宋"/>
          <w:color w:val="000000"/>
          <w:sz w:val="32"/>
          <w:szCs w:val="32"/>
        </w:rPr>
        <w:t>85.12</w:t>
      </w:r>
      <w:r>
        <w:rPr>
          <w:rFonts w:hint="eastAsia" w:ascii="仿宋" w:hAnsi="仿宋" w:eastAsia="仿宋"/>
          <w:sz w:val="32"/>
          <w:szCs w:val="32"/>
        </w:rPr>
        <w:t xml:space="preserve"> 万元，已完成采购项目实际中标（签约）金额 94.58万元，采购执行率为 90%。指标自评得分 2.7 分。</w:t>
      </w:r>
    </w:p>
    <w:p>
      <w:pPr>
        <w:ind w:firstLine="640" w:firstLineChars="200"/>
        <w:rPr>
          <w:rFonts w:ascii="楷体" w:hAnsi="楷体" w:eastAsia="楷体"/>
          <w:sz w:val="32"/>
          <w:szCs w:val="32"/>
        </w:rPr>
      </w:pPr>
      <w:r>
        <w:rPr>
          <w:rFonts w:hint="eastAsia" w:ascii="楷体" w:hAnsi="楷体" w:eastAsia="楷体"/>
          <w:sz w:val="32"/>
          <w:szCs w:val="32"/>
        </w:rPr>
        <w:t>（二）部门预算项目绩效分析。</w:t>
      </w:r>
    </w:p>
    <w:p>
      <w:pPr>
        <w:ind w:firstLine="640" w:firstLineChars="200"/>
        <w:rPr>
          <w:rFonts w:ascii="仿宋" w:hAnsi="仿宋" w:eastAsia="仿宋"/>
          <w:sz w:val="32"/>
          <w:szCs w:val="32"/>
        </w:rPr>
      </w:pPr>
      <w:r>
        <w:rPr>
          <w:rFonts w:hint="eastAsia" w:ascii="仿宋" w:hAnsi="仿宋" w:eastAsia="仿宋"/>
          <w:sz w:val="32"/>
          <w:szCs w:val="32"/>
        </w:rPr>
        <w:t>人员类项目绩效分析。该类项目总数 30 个，涉及预算总金额857.66万元，1—12 月预算执行总体进度为99.99%，其中：预算结余率大于10%的项目共计 0 个。</w:t>
      </w:r>
    </w:p>
    <w:p>
      <w:pPr>
        <w:ind w:firstLine="640" w:firstLineChars="200"/>
        <w:rPr>
          <w:rFonts w:ascii="仿宋" w:hAnsi="仿宋" w:eastAsia="仿宋"/>
          <w:sz w:val="32"/>
          <w:szCs w:val="32"/>
        </w:rPr>
      </w:pPr>
      <w:r>
        <w:rPr>
          <w:rFonts w:hint="eastAsia" w:ascii="仿宋" w:hAnsi="仿宋" w:eastAsia="仿宋"/>
          <w:sz w:val="32"/>
          <w:szCs w:val="32"/>
        </w:rPr>
        <w:t>运转类项目绩效分析。该类项目总数6 个，涉及预算总金额98.97万元，1—12 月预算执行总体进度100%，其中：预算结余率大于10%的项目共计 0 个。</w:t>
      </w:r>
    </w:p>
    <w:p>
      <w:pPr>
        <w:ind w:firstLine="640" w:firstLineChars="200"/>
        <w:rPr>
          <w:rFonts w:ascii="仿宋" w:hAnsi="仿宋" w:eastAsia="仿宋"/>
          <w:sz w:val="32"/>
          <w:szCs w:val="32"/>
        </w:rPr>
      </w:pPr>
      <w:r>
        <w:rPr>
          <w:rFonts w:hint="eastAsia" w:ascii="仿宋" w:hAnsi="仿宋" w:eastAsia="仿宋"/>
          <w:sz w:val="32"/>
          <w:szCs w:val="32"/>
        </w:rPr>
        <w:t>特定目标类项目绩效分析。该类项目总数 4 个，涉及预算总金额549.62 万元，1—12 月预算执行总体进度 87.27%，其中：预算结余率大于10%的项目共计 2 个。</w:t>
      </w:r>
    </w:p>
    <w:p>
      <w:pPr>
        <w:ind w:firstLine="642" w:firstLineChars="200"/>
        <w:rPr>
          <w:rFonts w:ascii="楷体" w:hAnsi="楷体" w:eastAsia="楷体"/>
          <w:b/>
          <w:sz w:val="32"/>
          <w:szCs w:val="32"/>
        </w:rPr>
      </w:pPr>
      <w:r>
        <w:rPr>
          <w:rFonts w:hint="eastAsia" w:ascii="楷体" w:hAnsi="楷体" w:eastAsia="楷体"/>
          <w:b/>
          <w:sz w:val="32"/>
          <w:szCs w:val="32"/>
        </w:rPr>
        <w:t>1.项目决策（自评得分 12 分）。</w:t>
      </w:r>
    </w:p>
    <w:p>
      <w:pPr>
        <w:ind w:firstLine="640" w:firstLineChars="200"/>
        <w:rPr>
          <w:rFonts w:ascii="仿宋" w:hAnsi="仿宋" w:eastAsia="仿宋"/>
          <w:sz w:val="32"/>
          <w:szCs w:val="32"/>
        </w:rPr>
      </w:pPr>
      <w:r>
        <w:rPr>
          <w:rFonts w:hint="eastAsia" w:ascii="仿宋" w:hAnsi="仿宋" w:eastAsia="仿宋"/>
          <w:sz w:val="32"/>
          <w:szCs w:val="32"/>
        </w:rPr>
        <w:t>（1）决策程序：根据 2024 年部门预算编制要求， “项目工作经费”“</w:t>
      </w:r>
      <w:r>
        <w:rPr>
          <w:rFonts w:ascii="仿宋" w:hAnsi="仿宋" w:eastAsia="仿宋"/>
          <w:sz w:val="32"/>
          <w:szCs w:val="32"/>
        </w:rPr>
        <w:t>数智人大综合服务平台建设</w:t>
      </w:r>
      <w:r>
        <w:rPr>
          <w:rFonts w:hint="eastAsia" w:ascii="仿宋" w:hAnsi="仿宋" w:eastAsia="仿宋"/>
          <w:sz w:val="32"/>
          <w:szCs w:val="32"/>
        </w:rPr>
        <w:t>”2 个项目符合事前绩效评估条件，按要求开展了自行评估并上传评估报告。自评得分 4 分。</w:t>
      </w:r>
    </w:p>
    <w:p>
      <w:pPr>
        <w:ind w:firstLine="640" w:firstLineChars="200"/>
        <w:rPr>
          <w:rFonts w:ascii="仿宋" w:hAnsi="仿宋" w:eastAsia="仿宋"/>
          <w:sz w:val="32"/>
          <w:szCs w:val="32"/>
        </w:rPr>
      </w:pPr>
      <w:r>
        <w:rPr>
          <w:rFonts w:hint="eastAsia" w:ascii="仿宋" w:hAnsi="仿宋" w:eastAsia="仿宋"/>
          <w:sz w:val="32"/>
          <w:szCs w:val="32"/>
        </w:rPr>
        <w:t>（2）目标设置：部门特定目标类项目绩效目标设置与计划期内的任务量、预算安排相匹配。自评得分 4 分。</w:t>
      </w:r>
    </w:p>
    <w:p>
      <w:pPr>
        <w:ind w:firstLine="640" w:firstLineChars="200"/>
        <w:rPr>
          <w:rFonts w:ascii="仿宋" w:hAnsi="仿宋" w:eastAsia="仿宋"/>
          <w:sz w:val="32"/>
          <w:szCs w:val="32"/>
        </w:rPr>
      </w:pPr>
      <w:r>
        <w:rPr>
          <w:rFonts w:hint="eastAsia" w:ascii="仿宋" w:hAnsi="仿宋" w:eastAsia="仿宋"/>
          <w:sz w:val="32"/>
          <w:szCs w:val="32"/>
        </w:rPr>
        <w:t>（3）项目入库：所有特定目标类项目均在规定时间内完成项目入库工作。自评得分 4 分。</w:t>
      </w:r>
    </w:p>
    <w:p>
      <w:pPr>
        <w:ind w:firstLine="642" w:firstLineChars="200"/>
        <w:rPr>
          <w:rFonts w:ascii="楷体" w:hAnsi="楷体" w:eastAsia="楷体"/>
          <w:b/>
          <w:sz w:val="32"/>
          <w:szCs w:val="32"/>
        </w:rPr>
      </w:pPr>
      <w:r>
        <w:rPr>
          <w:rFonts w:hint="eastAsia" w:ascii="楷体" w:hAnsi="楷体" w:eastAsia="楷体"/>
          <w:b/>
          <w:sz w:val="32"/>
          <w:szCs w:val="32"/>
        </w:rPr>
        <w:t>2.项目执行（自评得分 9 分）。</w:t>
      </w:r>
    </w:p>
    <w:p>
      <w:pPr>
        <w:ind w:firstLine="640" w:firstLineChars="200"/>
        <w:rPr>
          <w:rFonts w:ascii="仿宋" w:hAnsi="仿宋" w:eastAsia="仿宋"/>
          <w:sz w:val="32"/>
          <w:szCs w:val="32"/>
        </w:rPr>
      </w:pPr>
      <w:r>
        <w:rPr>
          <w:rFonts w:hint="eastAsia" w:ascii="仿宋" w:hAnsi="仿宋" w:eastAsia="仿宋"/>
          <w:sz w:val="32"/>
          <w:szCs w:val="32"/>
        </w:rPr>
        <w:t>（1）执行同向：部门预算特定目标类项目实际列支内容与绩效目标设置方向相符。自评得分 4 分。</w:t>
      </w:r>
    </w:p>
    <w:p>
      <w:pPr>
        <w:ind w:firstLine="640" w:firstLineChars="200"/>
        <w:rPr>
          <w:rFonts w:ascii="仿宋" w:hAnsi="仿宋" w:eastAsia="仿宋"/>
          <w:sz w:val="32"/>
          <w:szCs w:val="32"/>
        </w:rPr>
      </w:pPr>
      <w:r>
        <w:rPr>
          <w:rFonts w:hint="eastAsia" w:ascii="仿宋" w:hAnsi="仿宋" w:eastAsia="仿宋"/>
          <w:sz w:val="32"/>
          <w:szCs w:val="32"/>
        </w:rPr>
        <w:t>（2）项目调整：部门预算特定目标类项目应采取收回预算处置措施的项目数量 2 个，实际采取收回预算处置措施的项目数量2 个。自评得分 2 分。</w:t>
      </w:r>
    </w:p>
    <w:p>
      <w:pPr>
        <w:ind w:firstLine="640" w:firstLineChars="200"/>
        <w:rPr>
          <w:rFonts w:ascii="仿宋" w:hAnsi="仿宋" w:eastAsia="仿宋"/>
          <w:sz w:val="32"/>
          <w:szCs w:val="32"/>
        </w:rPr>
      </w:pPr>
      <w:r>
        <w:rPr>
          <w:rFonts w:hint="eastAsia" w:ascii="仿宋" w:hAnsi="仿宋" w:eastAsia="仿宋"/>
          <w:sz w:val="32"/>
          <w:szCs w:val="32"/>
        </w:rPr>
        <w:t>（3）执行结果：部门预算人员类、运转类项目总数36 个，结余率小于 10%的项目数量 36 个；特定目标类项目总数4个，结余率小于 10%的项目数量 2 个。自评得分3 分。</w:t>
      </w:r>
    </w:p>
    <w:p>
      <w:pPr>
        <w:ind w:firstLine="642" w:firstLineChars="200"/>
        <w:rPr>
          <w:rFonts w:ascii="楷体" w:hAnsi="楷体" w:eastAsia="楷体"/>
          <w:b/>
          <w:sz w:val="32"/>
          <w:szCs w:val="32"/>
        </w:rPr>
      </w:pPr>
      <w:r>
        <w:rPr>
          <w:rFonts w:hint="eastAsia" w:ascii="楷体" w:hAnsi="楷体" w:eastAsia="楷体"/>
          <w:b/>
          <w:sz w:val="32"/>
          <w:szCs w:val="32"/>
        </w:rPr>
        <w:t>3.目标实现（自评得分 11 分）。</w:t>
      </w:r>
    </w:p>
    <w:p>
      <w:pPr>
        <w:ind w:firstLine="640" w:firstLineChars="200"/>
        <w:rPr>
          <w:rFonts w:ascii="仿宋" w:hAnsi="仿宋" w:eastAsia="仿宋"/>
          <w:sz w:val="32"/>
          <w:szCs w:val="32"/>
        </w:rPr>
      </w:pPr>
      <w:r>
        <w:rPr>
          <w:rFonts w:hint="eastAsia" w:ascii="仿宋" w:hAnsi="仿宋" w:eastAsia="仿宋"/>
          <w:sz w:val="32"/>
          <w:szCs w:val="32"/>
        </w:rPr>
        <w:t>（1）目标完成：部门预算一般公共预算安排的人员类项目30个、运转类项目6个、部门预算特定目标类项目4个，均按照预期目标正常推进，完成效果较好。自评得分 4 分。</w:t>
      </w:r>
    </w:p>
    <w:p>
      <w:pPr>
        <w:ind w:firstLine="640" w:firstLineChars="200"/>
        <w:rPr>
          <w:rFonts w:ascii="仿宋" w:hAnsi="仿宋" w:eastAsia="仿宋"/>
          <w:sz w:val="32"/>
          <w:szCs w:val="32"/>
        </w:rPr>
      </w:pPr>
      <w:r>
        <w:rPr>
          <w:rFonts w:hint="eastAsia" w:ascii="仿宋" w:hAnsi="仿宋" w:eastAsia="仿宋"/>
          <w:sz w:val="32"/>
          <w:szCs w:val="32"/>
        </w:rPr>
        <w:t xml:space="preserve"> （2）目标偏离：4个部门预算特定目标类项目绩效目标数量指标实际完成数基本达到预期绩效目标，项目数量指标目标偏离度均在 30%以内。自评得分 4 分。</w:t>
      </w:r>
    </w:p>
    <w:p>
      <w:pPr>
        <w:ind w:firstLine="640" w:firstLineChars="200"/>
        <w:rPr>
          <w:rFonts w:ascii="仿宋" w:hAnsi="仿宋" w:eastAsia="仿宋"/>
          <w:sz w:val="32"/>
          <w:szCs w:val="32"/>
        </w:rPr>
      </w:pPr>
      <w:r>
        <w:rPr>
          <w:rFonts w:hint="eastAsia" w:ascii="仿宋" w:hAnsi="仿宋" w:eastAsia="仿宋"/>
          <w:sz w:val="32"/>
          <w:szCs w:val="32"/>
        </w:rPr>
        <w:t>（3）实现效果：部门预算特定目标类项目绩效目标效益指标完成率 100%。指标自评得分 3 分。</w:t>
      </w:r>
    </w:p>
    <w:p>
      <w:pPr>
        <w:ind w:firstLine="640" w:firstLineChars="200"/>
        <w:rPr>
          <w:rFonts w:ascii="楷体" w:hAnsi="楷体" w:eastAsia="楷体"/>
          <w:sz w:val="32"/>
          <w:szCs w:val="32"/>
        </w:rPr>
      </w:pPr>
      <w:r>
        <w:rPr>
          <w:rFonts w:hint="eastAsia" w:ascii="楷体" w:hAnsi="楷体" w:eastAsia="楷体"/>
          <w:sz w:val="32"/>
          <w:szCs w:val="32"/>
        </w:rPr>
        <w:t>（三）绩效结果应用情况。</w:t>
      </w:r>
    </w:p>
    <w:p>
      <w:pPr>
        <w:ind w:firstLine="640" w:firstLineChars="200"/>
        <w:rPr>
          <w:rFonts w:ascii="仿宋" w:hAnsi="仿宋" w:eastAsia="仿宋"/>
          <w:sz w:val="32"/>
          <w:szCs w:val="32"/>
        </w:rPr>
      </w:pPr>
      <w:r>
        <w:rPr>
          <w:rFonts w:hint="eastAsia" w:ascii="仿宋" w:hAnsi="仿宋" w:eastAsia="仿宋"/>
          <w:sz w:val="32"/>
          <w:szCs w:val="32"/>
        </w:rPr>
        <w:t>1.内部应用情况。对县人大各专委、机关各委（室）项目绩效目标实现程度和预算执行进度开展“双监控”，通过绩效运行监控对4 个特定目标类项目下达了处置通知，对依法完成项目采购后的资金结余和确实无法实现支出的预算，追减相应项目的预算共计 10.38万元。同时。将县人大各专委、机关各委（室）预算项目全年预算执行情况纳入了机关绩效管理考评细则中，将评价结果作为项目延续和新增预算安排的重要依据。</w:t>
      </w:r>
    </w:p>
    <w:p>
      <w:pPr>
        <w:ind w:firstLine="640" w:firstLineChars="200"/>
        <w:rPr>
          <w:rFonts w:ascii="仿宋" w:hAnsi="仿宋" w:eastAsia="仿宋"/>
          <w:sz w:val="32"/>
          <w:szCs w:val="32"/>
        </w:rPr>
      </w:pPr>
      <w:r>
        <w:rPr>
          <w:rFonts w:hint="eastAsia" w:ascii="仿宋" w:hAnsi="仿宋" w:eastAsia="仿宋"/>
          <w:sz w:val="32"/>
          <w:szCs w:val="32"/>
        </w:rPr>
        <w:t>2.信息公开情况。按照财政部门统一部署安排，于2024 年 1 月 9 日随同 2024年部门预算编制说明公开了绩效目标设置情况，于 2024 年 12 月6 日随同 2023年部门决算说明公开了部门整体支出及特定目标类项目支出绩效自评报告，自觉接受社会公众的监督，进一步提高财政资金管理透明度。</w:t>
      </w:r>
    </w:p>
    <w:p>
      <w:pPr>
        <w:ind w:firstLine="640" w:firstLineChars="200"/>
        <w:rPr>
          <w:rFonts w:ascii="仿宋" w:hAnsi="仿宋" w:eastAsia="仿宋"/>
          <w:sz w:val="32"/>
          <w:szCs w:val="32"/>
        </w:rPr>
      </w:pPr>
      <w:r>
        <w:rPr>
          <w:rFonts w:hint="eastAsia" w:ascii="仿宋" w:hAnsi="仿宋" w:eastAsia="仿宋"/>
          <w:sz w:val="32"/>
          <w:szCs w:val="32"/>
        </w:rPr>
        <w:t>3.整改反馈情况。积极配合做好县委巡察组工作，针对涉及预算执行、资产管理等方面的反馈问题，认真制定问题整改方案和措施，立行立改。涉及财务管理的所有问题均已完成整改。</w:t>
      </w:r>
    </w:p>
    <w:p>
      <w:pPr>
        <w:ind w:firstLine="640" w:firstLineChars="200"/>
        <w:rPr>
          <w:rFonts w:ascii="黑体" w:hAnsi="黑体" w:eastAsia="黑体"/>
          <w:sz w:val="32"/>
          <w:szCs w:val="32"/>
        </w:rPr>
      </w:pPr>
      <w:r>
        <w:rPr>
          <w:rFonts w:hint="eastAsia" w:ascii="黑体" w:hAnsi="黑体" w:eastAsia="黑体"/>
          <w:sz w:val="32"/>
          <w:szCs w:val="32"/>
        </w:rPr>
        <w:t>四、评价结论及建议</w:t>
      </w:r>
    </w:p>
    <w:p>
      <w:pPr>
        <w:ind w:firstLine="640" w:firstLineChars="200"/>
        <w:rPr>
          <w:rFonts w:ascii="楷体" w:hAnsi="楷体" w:eastAsia="楷体"/>
          <w:sz w:val="32"/>
          <w:szCs w:val="32"/>
        </w:rPr>
      </w:pPr>
      <w:r>
        <w:rPr>
          <w:rFonts w:hint="eastAsia" w:ascii="楷体" w:hAnsi="楷体" w:eastAsia="楷体"/>
          <w:sz w:val="32"/>
          <w:szCs w:val="32"/>
        </w:rPr>
        <w:t>（一）评价结论。</w:t>
      </w:r>
    </w:p>
    <w:p>
      <w:pPr>
        <w:ind w:firstLine="640" w:firstLineChars="200"/>
        <w:rPr>
          <w:rFonts w:ascii="仿宋" w:hAnsi="仿宋" w:eastAsia="仿宋"/>
          <w:sz w:val="32"/>
          <w:szCs w:val="32"/>
        </w:rPr>
      </w:pPr>
      <w:r>
        <w:rPr>
          <w:rFonts w:hint="eastAsia" w:ascii="仿宋" w:hAnsi="仿宋" w:eastAsia="仿宋"/>
          <w:sz w:val="32"/>
          <w:szCs w:val="32"/>
        </w:rPr>
        <w:t>认真对照部门预算绩效评价指标体系，对本部门履职效能、预算管理、财务管理、资产管理、采购管理、项目决策、项目执行、目标实现等方面进行了评价，自评得分 92.85 分。总体来看，我办认真贯彻落实党中央、国务院、省委、省政府市委、市政府和县委、县政府全面实施预算绩效管理的决策部署，切实履行部门预算绩效管理主体责任，加快推动建立全方位、全过程、全覆盖的预算绩效管理体系，以事前评估、事中监控、事后评价为节点，以目标引领和结果应用为抓手，扎实推进我办预算绩效管理工作稳步开展。</w:t>
      </w:r>
    </w:p>
    <w:p>
      <w:pPr>
        <w:ind w:firstLine="640" w:firstLineChars="200"/>
        <w:rPr>
          <w:rFonts w:ascii="楷体" w:hAnsi="楷体" w:eastAsia="楷体"/>
          <w:sz w:val="32"/>
          <w:szCs w:val="32"/>
        </w:rPr>
      </w:pPr>
      <w:r>
        <w:rPr>
          <w:rFonts w:hint="eastAsia" w:ascii="楷体" w:hAnsi="楷体" w:eastAsia="楷体"/>
          <w:sz w:val="32"/>
          <w:szCs w:val="32"/>
        </w:rPr>
        <w:t>（二） 存在问题。</w:t>
      </w:r>
    </w:p>
    <w:p>
      <w:pPr>
        <w:ind w:firstLine="640" w:firstLineChars="200"/>
        <w:rPr>
          <w:rFonts w:ascii="仿宋" w:hAnsi="仿宋" w:eastAsia="仿宋"/>
          <w:sz w:val="32"/>
          <w:szCs w:val="32"/>
        </w:rPr>
      </w:pPr>
      <w:r>
        <w:rPr>
          <w:rFonts w:hint="eastAsia" w:ascii="仿宋" w:hAnsi="仿宋" w:eastAsia="仿宋"/>
          <w:sz w:val="32"/>
          <w:szCs w:val="32"/>
        </w:rPr>
        <w:t>通过对照自评，我办预算绩效管理存在的主要问题是财政拨款预算执行进度偏慢，执行中未及时对需进行收回预算、调整目标的预算项目采取相应的处置措施。</w:t>
      </w:r>
    </w:p>
    <w:p>
      <w:pPr>
        <w:ind w:firstLine="640" w:firstLineChars="200"/>
        <w:rPr>
          <w:rFonts w:ascii="楷体" w:hAnsi="楷体" w:eastAsia="楷体"/>
          <w:sz w:val="32"/>
          <w:szCs w:val="32"/>
        </w:rPr>
      </w:pPr>
      <w:r>
        <w:rPr>
          <w:rFonts w:hint="eastAsia" w:ascii="楷体" w:hAnsi="楷体" w:eastAsia="楷体"/>
          <w:sz w:val="32"/>
          <w:szCs w:val="32"/>
        </w:rPr>
        <w:t>（三） 改进建议。</w:t>
      </w:r>
    </w:p>
    <w:p>
      <w:pPr>
        <w:ind w:firstLine="640" w:firstLineChars="200"/>
        <w:rPr>
          <w:rFonts w:ascii="仿宋" w:hAnsi="仿宋" w:eastAsia="仿宋"/>
          <w:sz w:val="32"/>
          <w:szCs w:val="32"/>
        </w:rPr>
      </w:pPr>
      <w:r>
        <w:rPr>
          <w:rFonts w:hint="eastAsia" w:ascii="仿宋" w:hAnsi="仿宋" w:eastAsia="仿宋"/>
          <w:sz w:val="32"/>
          <w:szCs w:val="32"/>
        </w:rPr>
        <w:t>一是进一步加强预算编制源头管理，督促县人大各专委、机关各委（室）根据承担的工作任务，在做好需求论证、项目评审基础上提出经费需求，强化绩效目标设置和审核，严格审查新增需求。二是实行预算项目全覆盖全时段绩效运行监控，对监控结果及时反馈县人大各专委、机关各委（室），提出改进措施和建议，并及时采取相应处置措施。三是加强与县人大各专委、机关各委（室）的沟通，督促指导县人大各专委、机关各委（室）做好项目支出预算和绩效目标的执行落实。四是加强绩效自评与预算编制的衔接，充分利用绩效评价结果，强化与预算安排、政策调整等挂钩，确保预算编制的科学性、精准性。</w:t>
      </w:r>
    </w:p>
    <w:p>
      <w:pPr>
        <w:ind w:firstLine="640" w:firstLineChars="200"/>
        <w:rPr>
          <w:rFonts w:ascii="仿宋" w:hAnsi="仿宋" w:eastAsia="仿宋"/>
          <w:sz w:val="32"/>
          <w:szCs w:val="32"/>
        </w:rPr>
      </w:pPr>
      <w:r>
        <w:rPr>
          <w:rFonts w:hint="eastAsia" w:eastAsia="仿宋_GB2312"/>
          <w:sz w:val="32"/>
          <w:lang w:val="zh-CN"/>
        </w:rPr>
        <w:t>附表：</w:t>
      </w:r>
      <w:r>
        <w:rPr>
          <w:rFonts w:hint="eastAsia" w:eastAsia="仿宋_GB2312"/>
          <w:sz w:val="32"/>
        </w:rPr>
        <w:t>部门预算项目支出绩效自评表（2024年度）</w:t>
      </w:r>
    </w:p>
    <w:p>
      <w:pPr>
        <w:pStyle w:val="2"/>
        <w:spacing w:before="93"/>
      </w:pPr>
    </w:p>
    <w:p>
      <w:pPr>
        <w:spacing w:line="600" w:lineRule="exact"/>
        <w:jc w:val="center"/>
        <w:outlineLvl w:val="0"/>
        <w:rPr>
          <w:rFonts w:ascii="黑体" w:hAnsi="黑体" w:eastAsia="黑体"/>
          <w:sz w:val="44"/>
          <w:szCs w:val="44"/>
        </w:rPr>
      </w:pPr>
      <w:bookmarkStart w:id="49" w:name="_Toc15377226"/>
      <w:bookmarkStart w:id="50" w:name="_Toc15396618"/>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jc w:val="center"/>
        <w:outlineLvl w:val="0"/>
        <w:rPr>
          <w:rFonts w:ascii="黑体" w:hAnsi="黑体" w:eastAsia="黑体"/>
          <w:sz w:val="44"/>
          <w:szCs w:val="44"/>
        </w:rPr>
      </w:pPr>
    </w:p>
    <w:p>
      <w:pPr>
        <w:spacing w:line="600" w:lineRule="exact"/>
        <w:jc w:val="center"/>
        <w:outlineLvl w:val="0"/>
        <w:rPr>
          <w:rStyle w:val="28"/>
          <w:rFonts w:ascii="黑体" w:hAnsi="黑体" w:eastAsia="黑体"/>
          <w:b w:val="0"/>
        </w:rPr>
      </w:pPr>
      <w:r>
        <w:rPr>
          <w:rFonts w:hint="eastAsia" w:ascii="黑体" w:hAnsi="黑体" w:eastAsia="黑体"/>
          <w:sz w:val="44"/>
          <w:szCs w:val="44"/>
        </w:rPr>
        <w:t>第</w:t>
      </w:r>
      <w:r>
        <w:rPr>
          <w:rStyle w:val="28"/>
          <w:rFonts w:hint="eastAsia" w:ascii="黑体" w:hAnsi="黑体" w:eastAsia="黑体"/>
          <w:b w:val="0"/>
        </w:rPr>
        <w:t>五部分 附表</w:t>
      </w:r>
      <w:bookmarkEnd w:id="49"/>
      <w:bookmarkEnd w:id="50"/>
      <w:bookmarkStart w:id="51" w:name="_Toc15396619"/>
    </w:p>
    <w:p>
      <w:pPr>
        <w:pStyle w:val="2"/>
        <w:spacing w:before="93"/>
      </w:pPr>
    </w:p>
    <w:p>
      <w:pPr>
        <w:spacing w:line="600" w:lineRule="exact"/>
        <w:outlineLvl w:val="0"/>
        <w:rPr>
          <w:rStyle w:val="29"/>
          <w:rFonts w:ascii="仿宋" w:hAnsi="仿宋" w:eastAsia="仿宋"/>
          <w:b w:val="0"/>
        </w:rPr>
      </w:pPr>
      <w:r>
        <w:rPr>
          <w:rStyle w:val="29"/>
          <w:rFonts w:hint="eastAsia" w:ascii="仿宋" w:hAnsi="仿宋" w:eastAsia="仿宋"/>
          <w:b w:val="0"/>
        </w:rPr>
        <w:t>一、收入支出决算总表</w:t>
      </w:r>
      <w:bookmarkEnd w:id="51"/>
      <w:bookmarkStart w:id="52" w:name="_Toc15396620"/>
    </w:p>
    <w:p>
      <w:pPr>
        <w:spacing w:line="600" w:lineRule="exact"/>
        <w:outlineLvl w:val="0"/>
        <w:rPr>
          <w:rStyle w:val="29"/>
          <w:rFonts w:ascii="仿宋" w:hAnsi="仿宋" w:eastAsia="仿宋"/>
          <w:b w:val="0"/>
        </w:rPr>
      </w:pPr>
      <w:r>
        <w:rPr>
          <w:rStyle w:val="29"/>
          <w:rFonts w:hint="eastAsia" w:ascii="仿宋" w:hAnsi="仿宋" w:eastAsia="仿宋"/>
        </w:rPr>
        <w:t>二、</w:t>
      </w:r>
      <w:r>
        <w:rPr>
          <w:rStyle w:val="29"/>
          <w:rFonts w:hint="eastAsia" w:ascii="仿宋" w:hAnsi="仿宋" w:eastAsia="仿宋"/>
          <w:b w:val="0"/>
        </w:rPr>
        <w:t>收入决算表</w:t>
      </w:r>
      <w:bookmarkEnd w:id="52"/>
      <w:bookmarkStart w:id="53" w:name="_Toc15396621"/>
    </w:p>
    <w:p>
      <w:pPr>
        <w:spacing w:line="600" w:lineRule="exact"/>
        <w:outlineLvl w:val="0"/>
        <w:rPr>
          <w:rStyle w:val="29"/>
          <w:rFonts w:ascii="仿宋" w:hAnsi="仿宋" w:eastAsia="仿宋"/>
          <w:b w:val="0"/>
        </w:rPr>
      </w:pPr>
      <w:r>
        <w:rPr>
          <w:rStyle w:val="29"/>
          <w:rFonts w:hint="eastAsia" w:ascii="仿宋" w:hAnsi="仿宋" w:eastAsia="仿宋"/>
          <w:b w:val="0"/>
        </w:rPr>
        <w:t>三、支出决算表</w:t>
      </w:r>
      <w:bookmarkEnd w:id="53"/>
      <w:bookmarkStart w:id="54" w:name="_Toc15396622"/>
    </w:p>
    <w:p>
      <w:pPr>
        <w:spacing w:line="600" w:lineRule="exact"/>
        <w:outlineLvl w:val="0"/>
        <w:rPr>
          <w:rStyle w:val="29"/>
          <w:rFonts w:ascii="仿宋" w:hAnsi="仿宋" w:eastAsia="仿宋"/>
          <w:b w:val="0"/>
        </w:rPr>
      </w:pPr>
      <w:r>
        <w:rPr>
          <w:rStyle w:val="29"/>
          <w:rFonts w:hint="eastAsia" w:ascii="仿宋" w:hAnsi="仿宋" w:eastAsia="仿宋"/>
          <w:b w:val="0"/>
        </w:rPr>
        <w:t>四、财政拨款收入支出决算总表</w:t>
      </w:r>
      <w:bookmarkEnd w:id="54"/>
      <w:bookmarkStart w:id="55" w:name="_Toc15396623"/>
    </w:p>
    <w:p>
      <w:pPr>
        <w:spacing w:line="600" w:lineRule="exact"/>
        <w:outlineLvl w:val="0"/>
        <w:rPr>
          <w:rStyle w:val="29"/>
          <w:rFonts w:ascii="仿宋" w:hAnsi="仿宋" w:eastAsia="仿宋"/>
          <w:b w:val="0"/>
        </w:rPr>
      </w:pPr>
      <w:r>
        <w:rPr>
          <w:rStyle w:val="29"/>
          <w:rFonts w:hint="eastAsia" w:ascii="仿宋" w:hAnsi="仿宋" w:eastAsia="仿宋"/>
          <w:b w:val="0"/>
        </w:rPr>
        <w:t>五、财政拨款支出决算明细表</w:t>
      </w:r>
      <w:bookmarkEnd w:id="55"/>
      <w:bookmarkStart w:id="56" w:name="_Toc15396624"/>
    </w:p>
    <w:p>
      <w:pPr>
        <w:spacing w:line="600" w:lineRule="exact"/>
        <w:outlineLvl w:val="0"/>
        <w:rPr>
          <w:rStyle w:val="29"/>
          <w:rFonts w:ascii="仿宋" w:hAnsi="仿宋" w:eastAsia="仿宋"/>
          <w:b w:val="0"/>
        </w:rPr>
      </w:pPr>
      <w:r>
        <w:rPr>
          <w:rStyle w:val="29"/>
          <w:rFonts w:hint="eastAsia" w:ascii="仿宋" w:hAnsi="仿宋" w:eastAsia="仿宋"/>
          <w:b w:val="0"/>
        </w:rPr>
        <w:t>六、</w:t>
      </w:r>
      <w:r>
        <w:rPr>
          <w:rStyle w:val="29"/>
          <w:rFonts w:hint="eastAsia" w:ascii="仿宋" w:hAnsi="仿宋" w:eastAsia="仿宋"/>
        </w:rPr>
        <w:t>一</w:t>
      </w:r>
      <w:r>
        <w:rPr>
          <w:rStyle w:val="29"/>
          <w:rFonts w:hint="eastAsia" w:ascii="仿宋" w:hAnsi="仿宋" w:eastAsia="仿宋"/>
          <w:b w:val="0"/>
        </w:rPr>
        <w:t>般公共预算财政拨款支出决算表</w:t>
      </w:r>
      <w:bookmarkEnd w:id="56"/>
      <w:bookmarkStart w:id="57" w:name="_Toc15396625"/>
    </w:p>
    <w:p>
      <w:pPr>
        <w:spacing w:line="600" w:lineRule="exact"/>
        <w:outlineLvl w:val="0"/>
        <w:rPr>
          <w:rStyle w:val="29"/>
          <w:rFonts w:ascii="仿宋" w:hAnsi="仿宋" w:eastAsia="仿宋"/>
          <w:b w:val="0"/>
        </w:rPr>
      </w:pPr>
      <w:r>
        <w:rPr>
          <w:rStyle w:val="29"/>
          <w:rFonts w:hint="eastAsia" w:ascii="仿宋" w:hAnsi="仿宋" w:eastAsia="仿宋"/>
          <w:b w:val="0"/>
        </w:rPr>
        <w:t>七、</w:t>
      </w:r>
      <w:r>
        <w:rPr>
          <w:rStyle w:val="29"/>
          <w:rFonts w:hint="eastAsia" w:ascii="仿宋" w:hAnsi="仿宋" w:eastAsia="仿宋"/>
        </w:rPr>
        <w:t>一</w:t>
      </w:r>
      <w:r>
        <w:rPr>
          <w:rStyle w:val="29"/>
          <w:rFonts w:hint="eastAsia" w:ascii="仿宋" w:hAnsi="仿宋" w:eastAsia="仿宋"/>
          <w:b w:val="0"/>
        </w:rPr>
        <w:t>般公共预算财政拨款支出决算明细表</w:t>
      </w:r>
      <w:bookmarkEnd w:id="57"/>
      <w:bookmarkStart w:id="58" w:name="_Toc15396626"/>
    </w:p>
    <w:p>
      <w:pPr>
        <w:spacing w:line="600" w:lineRule="exact"/>
        <w:outlineLvl w:val="0"/>
        <w:rPr>
          <w:rStyle w:val="29"/>
          <w:rFonts w:ascii="仿宋" w:hAnsi="仿宋" w:eastAsia="仿宋"/>
          <w:b w:val="0"/>
        </w:rPr>
      </w:pPr>
      <w:r>
        <w:rPr>
          <w:rStyle w:val="29"/>
          <w:rFonts w:hint="eastAsia" w:ascii="仿宋" w:hAnsi="仿宋" w:eastAsia="仿宋"/>
          <w:b w:val="0"/>
        </w:rPr>
        <w:t>八、</w:t>
      </w:r>
      <w:r>
        <w:rPr>
          <w:rStyle w:val="29"/>
          <w:rFonts w:hint="eastAsia" w:ascii="仿宋" w:hAnsi="仿宋" w:eastAsia="仿宋"/>
        </w:rPr>
        <w:t>一</w:t>
      </w:r>
      <w:r>
        <w:rPr>
          <w:rStyle w:val="29"/>
          <w:rFonts w:hint="eastAsia" w:ascii="仿宋" w:hAnsi="仿宋" w:eastAsia="仿宋"/>
          <w:b w:val="0"/>
        </w:rPr>
        <w:t>般公共预算财政拨款基本支出决算表</w:t>
      </w:r>
      <w:bookmarkEnd w:id="58"/>
      <w:bookmarkStart w:id="59" w:name="_Toc15396627"/>
    </w:p>
    <w:p>
      <w:pPr>
        <w:spacing w:line="600" w:lineRule="exact"/>
        <w:outlineLvl w:val="0"/>
        <w:rPr>
          <w:rStyle w:val="29"/>
          <w:rFonts w:ascii="仿宋" w:hAnsi="仿宋" w:eastAsia="仿宋"/>
          <w:b w:val="0"/>
        </w:rPr>
      </w:pPr>
      <w:r>
        <w:rPr>
          <w:rStyle w:val="29"/>
          <w:rFonts w:hint="eastAsia" w:ascii="仿宋" w:hAnsi="仿宋" w:eastAsia="仿宋"/>
          <w:b w:val="0"/>
        </w:rPr>
        <w:t>九、</w:t>
      </w:r>
      <w:r>
        <w:rPr>
          <w:rStyle w:val="29"/>
          <w:rFonts w:hint="eastAsia" w:ascii="仿宋" w:hAnsi="仿宋" w:eastAsia="仿宋"/>
        </w:rPr>
        <w:t>一</w:t>
      </w:r>
      <w:r>
        <w:rPr>
          <w:rStyle w:val="29"/>
          <w:rFonts w:hint="eastAsia" w:ascii="仿宋" w:hAnsi="仿宋" w:eastAsia="仿宋"/>
          <w:b w:val="0"/>
        </w:rPr>
        <w:t>般公共预算财政拨款项目支出决算表</w:t>
      </w:r>
      <w:bookmarkEnd w:id="59"/>
      <w:bookmarkStart w:id="60" w:name="_Toc15396628"/>
    </w:p>
    <w:p>
      <w:pPr>
        <w:spacing w:line="600" w:lineRule="exact"/>
        <w:outlineLvl w:val="0"/>
        <w:rPr>
          <w:rStyle w:val="29"/>
          <w:rFonts w:ascii="仿宋" w:hAnsi="仿宋" w:eastAsia="仿宋"/>
          <w:b w:val="0"/>
        </w:rPr>
      </w:pPr>
      <w:r>
        <w:rPr>
          <w:rStyle w:val="29"/>
          <w:rFonts w:hint="eastAsia" w:ascii="仿宋" w:hAnsi="仿宋" w:eastAsia="仿宋"/>
          <w:b w:val="0"/>
        </w:rPr>
        <w:t>十、</w:t>
      </w:r>
      <w:bookmarkEnd w:id="60"/>
      <w:bookmarkStart w:id="61" w:name="_Toc15396629"/>
      <w:r>
        <w:rPr>
          <w:rStyle w:val="29"/>
          <w:rFonts w:hint="eastAsia" w:ascii="仿宋" w:hAnsi="仿宋" w:eastAsia="仿宋"/>
          <w:b w:val="0"/>
        </w:rPr>
        <w:t>政府性基金预算财政拨款收入支出决算表</w:t>
      </w:r>
    </w:p>
    <w:p>
      <w:pPr>
        <w:spacing w:line="600" w:lineRule="exact"/>
        <w:outlineLvl w:val="0"/>
        <w:rPr>
          <w:rStyle w:val="29"/>
          <w:rFonts w:ascii="仿宋" w:hAnsi="仿宋" w:eastAsia="仿宋"/>
          <w:b w:val="0"/>
        </w:rPr>
      </w:pPr>
      <w:r>
        <w:rPr>
          <w:rStyle w:val="29"/>
          <w:rFonts w:hint="eastAsia" w:ascii="仿宋" w:hAnsi="仿宋" w:eastAsia="仿宋"/>
          <w:b w:val="0"/>
        </w:rPr>
        <w:t>十一、</w:t>
      </w:r>
      <w:bookmarkEnd w:id="61"/>
      <w:bookmarkStart w:id="62" w:name="_Toc15396630"/>
      <w:r>
        <w:rPr>
          <w:rStyle w:val="29"/>
          <w:rFonts w:hint="eastAsia" w:ascii="仿宋" w:hAnsi="仿宋" w:eastAsia="仿宋"/>
          <w:b w:val="0"/>
        </w:rPr>
        <w:t>国有资本经营预算财政拨款收入支出决算表</w:t>
      </w:r>
    </w:p>
    <w:p>
      <w:pPr>
        <w:spacing w:line="600" w:lineRule="exact"/>
        <w:outlineLvl w:val="0"/>
        <w:rPr>
          <w:rStyle w:val="29"/>
          <w:rFonts w:ascii="仿宋" w:hAnsi="仿宋" w:eastAsia="仿宋"/>
          <w:b w:val="0"/>
        </w:rPr>
      </w:pPr>
      <w:r>
        <w:rPr>
          <w:rStyle w:val="29"/>
          <w:rFonts w:hint="eastAsia" w:ascii="仿宋" w:hAnsi="仿宋" w:eastAsia="仿宋"/>
          <w:b w:val="0"/>
        </w:rPr>
        <w:t>十二、</w:t>
      </w:r>
      <w:bookmarkEnd w:id="62"/>
      <w:bookmarkStart w:id="63" w:name="_Toc15396631"/>
      <w:r>
        <w:rPr>
          <w:rStyle w:val="29"/>
          <w:rFonts w:hint="eastAsia" w:ascii="仿宋" w:hAnsi="仿宋" w:eastAsia="仿宋"/>
          <w:b w:val="0"/>
          <w:bCs w:val="0"/>
        </w:rPr>
        <w:t>国有资本经营预算财政拨款支出决算表</w:t>
      </w:r>
    </w:p>
    <w:p>
      <w:pPr>
        <w:spacing w:line="600" w:lineRule="exact"/>
        <w:outlineLvl w:val="0"/>
        <w:rPr>
          <w:rStyle w:val="29"/>
          <w:rFonts w:ascii="仿宋" w:hAnsi="仿宋" w:eastAsia="仿宋"/>
          <w:b w:val="0"/>
          <w:bCs w:val="0"/>
        </w:rPr>
      </w:pPr>
      <w:r>
        <w:rPr>
          <w:rStyle w:val="29"/>
          <w:rFonts w:hint="eastAsia" w:ascii="仿宋" w:hAnsi="仿宋" w:eastAsia="仿宋"/>
          <w:b w:val="0"/>
        </w:rPr>
        <w:t>十三、</w:t>
      </w:r>
      <w:bookmarkEnd w:id="63"/>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701" w:bottom="1440" w:left="170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华文仿宋">
    <w:altName w:val="方正仿宋_GBK"/>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27776"/>
    </w:sdtPr>
    <w:sdtContent>
      <w:p>
        <w:pPr>
          <w:pStyle w:val="10"/>
          <w:jc w:val="center"/>
        </w:pPr>
        <w:r>
          <w:fldChar w:fldCharType="begin"/>
        </w:r>
        <w:r>
          <w:instrText xml:space="preserve">PAGE   \* MERGEFORMAT</w:instrText>
        </w:r>
        <w:r>
          <w:fldChar w:fldCharType="separate"/>
        </w:r>
        <w:r>
          <w:rPr>
            <w:lang w:val="zh-CN"/>
          </w:rPr>
          <w:t>17</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0CF5"/>
    <w:rsid w:val="00000F6B"/>
    <w:rsid w:val="00000FC8"/>
    <w:rsid w:val="00002474"/>
    <w:rsid w:val="00002605"/>
    <w:rsid w:val="000026CC"/>
    <w:rsid w:val="000105F0"/>
    <w:rsid w:val="000121E1"/>
    <w:rsid w:val="00012303"/>
    <w:rsid w:val="000128EF"/>
    <w:rsid w:val="00012DA3"/>
    <w:rsid w:val="00015596"/>
    <w:rsid w:val="000156B5"/>
    <w:rsid w:val="00016D88"/>
    <w:rsid w:val="00016E6A"/>
    <w:rsid w:val="00017565"/>
    <w:rsid w:val="0002028E"/>
    <w:rsid w:val="0002094F"/>
    <w:rsid w:val="00021EE1"/>
    <w:rsid w:val="000222C6"/>
    <w:rsid w:val="000227AD"/>
    <w:rsid w:val="00022FA7"/>
    <w:rsid w:val="00023564"/>
    <w:rsid w:val="00024645"/>
    <w:rsid w:val="000248CB"/>
    <w:rsid w:val="0002549F"/>
    <w:rsid w:val="000272D8"/>
    <w:rsid w:val="000309B8"/>
    <w:rsid w:val="0003152E"/>
    <w:rsid w:val="00032A58"/>
    <w:rsid w:val="0003533A"/>
    <w:rsid w:val="0003630F"/>
    <w:rsid w:val="00037158"/>
    <w:rsid w:val="00044F0C"/>
    <w:rsid w:val="000453FD"/>
    <w:rsid w:val="00046329"/>
    <w:rsid w:val="000468DB"/>
    <w:rsid w:val="00056309"/>
    <w:rsid w:val="0005712A"/>
    <w:rsid w:val="00060A25"/>
    <w:rsid w:val="0006231B"/>
    <w:rsid w:val="0006259C"/>
    <w:rsid w:val="00062FE0"/>
    <w:rsid w:val="0006326C"/>
    <w:rsid w:val="00063BA2"/>
    <w:rsid w:val="00063CA2"/>
    <w:rsid w:val="0006487A"/>
    <w:rsid w:val="00065166"/>
    <w:rsid w:val="00065C30"/>
    <w:rsid w:val="00065F8F"/>
    <w:rsid w:val="00067224"/>
    <w:rsid w:val="00070A43"/>
    <w:rsid w:val="00072480"/>
    <w:rsid w:val="00072770"/>
    <w:rsid w:val="00072882"/>
    <w:rsid w:val="00072A6A"/>
    <w:rsid w:val="00075592"/>
    <w:rsid w:val="000768F2"/>
    <w:rsid w:val="00076960"/>
    <w:rsid w:val="000775E0"/>
    <w:rsid w:val="000814E7"/>
    <w:rsid w:val="00084381"/>
    <w:rsid w:val="00087CBD"/>
    <w:rsid w:val="00087DAE"/>
    <w:rsid w:val="00090292"/>
    <w:rsid w:val="0009062A"/>
    <w:rsid w:val="0009184B"/>
    <w:rsid w:val="00094236"/>
    <w:rsid w:val="000944A5"/>
    <w:rsid w:val="000948DB"/>
    <w:rsid w:val="000952F7"/>
    <w:rsid w:val="000956E7"/>
    <w:rsid w:val="0009593C"/>
    <w:rsid w:val="00096CA6"/>
    <w:rsid w:val="00097322"/>
    <w:rsid w:val="000A191A"/>
    <w:rsid w:val="000A2342"/>
    <w:rsid w:val="000A2488"/>
    <w:rsid w:val="000A590B"/>
    <w:rsid w:val="000A6A92"/>
    <w:rsid w:val="000A6E76"/>
    <w:rsid w:val="000B047F"/>
    <w:rsid w:val="000B1083"/>
    <w:rsid w:val="000B42FB"/>
    <w:rsid w:val="000B5923"/>
    <w:rsid w:val="000B5A48"/>
    <w:rsid w:val="000B6FF3"/>
    <w:rsid w:val="000B7FEF"/>
    <w:rsid w:val="000C07AC"/>
    <w:rsid w:val="000C0B79"/>
    <w:rsid w:val="000C105A"/>
    <w:rsid w:val="000C1640"/>
    <w:rsid w:val="000C3467"/>
    <w:rsid w:val="000C3765"/>
    <w:rsid w:val="000C3CA6"/>
    <w:rsid w:val="000C3CAD"/>
    <w:rsid w:val="000C5279"/>
    <w:rsid w:val="000C600B"/>
    <w:rsid w:val="000D1267"/>
    <w:rsid w:val="000D1D24"/>
    <w:rsid w:val="000D1D50"/>
    <w:rsid w:val="000D2142"/>
    <w:rsid w:val="000D23A5"/>
    <w:rsid w:val="000D37AF"/>
    <w:rsid w:val="000D3DFA"/>
    <w:rsid w:val="000D4437"/>
    <w:rsid w:val="000D5095"/>
    <w:rsid w:val="000D53A0"/>
    <w:rsid w:val="000D5782"/>
    <w:rsid w:val="000D5CE8"/>
    <w:rsid w:val="000D5E71"/>
    <w:rsid w:val="000D6ACA"/>
    <w:rsid w:val="000E28F5"/>
    <w:rsid w:val="000E33E5"/>
    <w:rsid w:val="000E3B03"/>
    <w:rsid w:val="000E3B7D"/>
    <w:rsid w:val="000E4436"/>
    <w:rsid w:val="000E48C4"/>
    <w:rsid w:val="000E56AE"/>
    <w:rsid w:val="000E5D9E"/>
    <w:rsid w:val="000E6613"/>
    <w:rsid w:val="000E7119"/>
    <w:rsid w:val="000E7B4E"/>
    <w:rsid w:val="000F00E9"/>
    <w:rsid w:val="000F2B75"/>
    <w:rsid w:val="000F4562"/>
    <w:rsid w:val="0010186C"/>
    <w:rsid w:val="0010357A"/>
    <w:rsid w:val="001066A2"/>
    <w:rsid w:val="001109D1"/>
    <w:rsid w:val="00114E9B"/>
    <w:rsid w:val="001154A5"/>
    <w:rsid w:val="00115B4C"/>
    <w:rsid w:val="0012094C"/>
    <w:rsid w:val="00121FE0"/>
    <w:rsid w:val="00122190"/>
    <w:rsid w:val="00125168"/>
    <w:rsid w:val="00125762"/>
    <w:rsid w:val="001305F3"/>
    <w:rsid w:val="00135A88"/>
    <w:rsid w:val="00135E78"/>
    <w:rsid w:val="001373AE"/>
    <w:rsid w:val="001400B8"/>
    <w:rsid w:val="0014139E"/>
    <w:rsid w:val="0014166A"/>
    <w:rsid w:val="00141C06"/>
    <w:rsid w:val="00142216"/>
    <w:rsid w:val="00143713"/>
    <w:rsid w:val="00143C86"/>
    <w:rsid w:val="00144D6A"/>
    <w:rsid w:val="001470D6"/>
    <w:rsid w:val="0014729F"/>
    <w:rsid w:val="00150109"/>
    <w:rsid w:val="00150737"/>
    <w:rsid w:val="001511BA"/>
    <w:rsid w:val="00152898"/>
    <w:rsid w:val="00153D6A"/>
    <w:rsid w:val="001542CF"/>
    <w:rsid w:val="0015536C"/>
    <w:rsid w:val="0015663A"/>
    <w:rsid w:val="001573AB"/>
    <w:rsid w:val="0015765E"/>
    <w:rsid w:val="00157BAB"/>
    <w:rsid w:val="00160567"/>
    <w:rsid w:val="0016217B"/>
    <w:rsid w:val="00164765"/>
    <w:rsid w:val="00164D50"/>
    <w:rsid w:val="001654D1"/>
    <w:rsid w:val="00166336"/>
    <w:rsid w:val="00166B76"/>
    <w:rsid w:val="001671EE"/>
    <w:rsid w:val="001725EB"/>
    <w:rsid w:val="001734AA"/>
    <w:rsid w:val="00174518"/>
    <w:rsid w:val="001766D7"/>
    <w:rsid w:val="00176A37"/>
    <w:rsid w:val="00177D0E"/>
    <w:rsid w:val="00180291"/>
    <w:rsid w:val="0018106D"/>
    <w:rsid w:val="00181CC7"/>
    <w:rsid w:val="0018251E"/>
    <w:rsid w:val="00183C77"/>
    <w:rsid w:val="00183FFE"/>
    <w:rsid w:val="00184075"/>
    <w:rsid w:val="00185156"/>
    <w:rsid w:val="00186C46"/>
    <w:rsid w:val="001877A7"/>
    <w:rsid w:val="00191536"/>
    <w:rsid w:val="001923D5"/>
    <w:rsid w:val="0019250E"/>
    <w:rsid w:val="00195384"/>
    <w:rsid w:val="001959FE"/>
    <w:rsid w:val="00196687"/>
    <w:rsid w:val="001A0A45"/>
    <w:rsid w:val="001A1904"/>
    <w:rsid w:val="001A3596"/>
    <w:rsid w:val="001A3641"/>
    <w:rsid w:val="001A3A8C"/>
    <w:rsid w:val="001A4E51"/>
    <w:rsid w:val="001A505F"/>
    <w:rsid w:val="001B0A9D"/>
    <w:rsid w:val="001B13B1"/>
    <w:rsid w:val="001B1EAD"/>
    <w:rsid w:val="001B4138"/>
    <w:rsid w:val="001B5A3E"/>
    <w:rsid w:val="001B73E6"/>
    <w:rsid w:val="001C0962"/>
    <w:rsid w:val="001C15B2"/>
    <w:rsid w:val="001C1D2D"/>
    <w:rsid w:val="001C21C9"/>
    <w:rsid w:val="001C4E60"/>
    <w:rsid w:val="001C5C6C"/>
    <w:rsid w:val="001C5E30"/>
    <w:rsid w:val="001D35CC"/>
    <w:rsid w:val="001D38EA"/>
    <w:rsid w:val="001D3B62"/>
    <w:rsid w:val="001D3E54"/>
    <w:rsid w:val="001D3FA0"/>
    <w:rsid w:val="001D4DDA"/>
    <w:rsid w:val="001D66DD"/>
    <w:rsid w:val="001D6EA8"/>
    <w:rsid w:val="001D7531"/>
    <w:rsid w:val="001E0346"/>
    <w:rsid w:val="001E0ABB"/>
    <w:rsid w:val="001E4396"/>
    <w:rsid w:val="001E67C2"/>
    <w:rsid w:val="001E737D"/>
    <w:rsid w:val="001F0592"/>
    <w:rsid w:val="001F1686"/>
    <w:rsid w:val="001F28A4"/>
    <w:rsid w:val="001F4D02"/>
    <w:rsid w:val="001F7506"/>
    <w:rsid w:val="001F7F54"/>
    <w:rsid w:val="002006CD"/>
    <w:rsid w:val="00202300"/>
    <w:rsid w:val="00202877"/>
    <w:rsid w:val="00202B36"/>
    <w:rsid w:val="00202C89"/>
    <w:rsid w:val="00204B7A"/>
    <w:rsid w:val="00204CDE"/>
    <w:rsid w:val="00205D1F"/>
    <w:rsid w:val="00207708"/>
    <w:rsid w:val="00207B47"/>
    <w:rsid w:val="00207E80"/>
    <w:rsid w:val="002105E9"/>
    <w:rsid w:val="0021101A"/>
    <w:rsid w:val="00212208"/>
    <w:rsid w:val="002133F7"/>
    <w:rsid w:val="00215324"/>
    <w:rsid w:val="00216140"/>
    <w:rsid w:val="00220536"/>
    <w:rsid w:val="00225883"/>
    <w:rsid w:val="002263C5"/>
    <w:rsid w:val="002276E6"/>
    <w:rsid w:val="00230D19"/>
    <w:rsid w:val="0023230A"/>
    <w:rsid w:val="00232EF6"/>
    <w:rsid w:val="00233D21"/>
    <w:rsid w:val="00235629"/>
    <w:rsid w:val="00235692"/>
    <w:rsid w:val="002369B9"/>
    <w:rsid w:val="00242230"/>
    <w:rsid w:val="00242ACA"/>
    <w:rsid w:val="002437BD"/>
    <w:rsid w:val="00244005"/>
    <w:rsid w:val="00245DF0"/>
    <w:rsid w:val="00245F9D"/>
    <w:rsid w:val="002461CA"/>
    <w:rsid w:val="00247034"/>
    <w:rsid w:val="0025094D"/>
    <w:rsid w:val="00250E5E"/>
    <w:rsid w:val="00251895"/>
    <w:rsid w:val="00260C38"/>
    <w:rsid w:val="002616C0"/>
    <w:rsid w:val="002623F5"/>
    <w:rsid w:val="002626F7"/>
    <w:rsid w:val="0026377D"/>
    <w:rsid w:val="00265372"/>
    <w:rsid w:val="00265536"/>
    <w:rsid w:val="0026554A"/>
    <w:rsid w:val="002662AA"/>
    <w:rsid w:val="0026731B"/>
    <w:rsid w:val="002717DE"/>
    <w:rsid w:val="00275737"/>
    <w:rsid w:val="00280496"/>
    <w:rsid w:val="00281ACF"/>
    <w:rsid w:val="002827DF"/>
    <w:rsid w:val="00283AC5"/>
    <w:rsid w:val="00284DED"/>
    <w:rsid w:val="00287BF6"/>
    <w:rsid w:val="0029117C"/>
    <w:rsid w:val="00294240"/>
    <w:rsid w:val="00294DC9"/>
    <w:rsid w:val="00295495"/>
    <w:rsid w:val="00296CCB"/>
    <w:rsid w:val="002970CF"/>
    <w:rsid w:val="002970D0"/>
    <w:rsid w:val="002A02A2"/>
    <w:rsid w:val="002A094A"/>
    <w:rsid w:val="002A12EF"/>
    <w:rsid w:val="002A17E7"/>
    <w:rsid w:val="002A31DE"/>
    <w:rsid w:val="002A359F"/>
    <w:rsid w:val="002A396C"/>
    <w:rsid w:val="002A6119"/>
    <w:rsid w:val="002A665C"/>
    <w:rsid w:val="002A70FF"/>
    <w:rsid w:val="002B182A"/>
    <w:rsid w:val="002B2613"/>
    <w:rsid w:val="002B28ED"/>
    <w:rsid w:val="002B357B"/>
    <w:rsid w:val="002B4C86"/>
    <w:rsid w:val="002B66E5"/>
    <w:rsid w:val="002B75D5"/>
    <w:rsid w:val="002C1F9E"/>
    <w:rsid w:val="002C28D8"/>
    <w:rsid w:val="002C4504"/>
    <w:rsid w:val="002C6AFB"/>
    <w:rsid w:val="002D111B"/>
    <w:rsid w:val="002D1AA1"/>
    <w:rsid w:val="002D3CB5"/>
    <w:rsid w:val="002D5BFB"/>
    <w:rsid w:val="002D5D2F"/>
    <w:rsid w:val="002D5EEF"/>
    <w:rsid w:val="002D6D05"/>
    <w:rsid w:val="002E17B0"/>
    <w:rsid w:val="002E33B9"/>
    <w:rsid w:val="002E3C8D"/>
    <w:rsid w:val="002E5437"/>
    <w:rsid w:val="002E5724"/>
    <w:rsid w:val="002E6A4B"/>
    <w:rsid w:val="002E6D34"/>
    <w:rsid w:val="002F1818"/>
    <w:rsid w:val="002F1B0D"/>
    <w:rsid w:val="002F567B"/>
    <w:rsid w:val="002F6CD3"/>
    <w:rsid w:val="002F7925"/>
    <w:rsid w:val="003001DB"/>
    <w:rsid w:val="003036EE"/>
    <w:rsid w:val="00304CA6"/>
    <w:rsid w:val="00304F8A"/>
    <w:rsid w:val="00305801"/>
    <w:rsid w:val="003109C8"/>
    <w:rsid w:val="00312A0E"/>
    <w:rsid w:val="003145CD"/>
    <w:rsid w:val="00315F5D"/>
    <w:rsid w:val="0031796D"/>
    <w:rsid w:val="003203B5"/>
    <w:rsid w:val="003216A9"/>
    <w:rsid w:val="00322F41"/>
    <w:rsid w:val="00325B63"/>
    <w:rsid w:val="00326642"/>
    <w:rsid w:val="00332569"/>
    <w:rsid w:val="00334FB9"/>
    <w:rsid w:val="003355CA"/>
    <w:rsid w:val="00335A74"/>
    <w:rsid w:val="00335D0C"/>
    <w:rsid w:val="00344377"/>
    <w:rsid w:val="0034454E"/>
    <w:rsid w:val="00344DFE"/>
    <w:rsid w:val="0035041F"/>
    <w:rsid w:val="0035467B"/>
    <w:rsid w:val="00354A17"/>
    <w:rsid w:val="0035514E"/>
    <w:rsid w:val="00355EC8"/>
    <w:rsid w:val="00356D72"/>
    <w:rsid w:val="0036139F"/>
    <w:rsid w:val="0036561B"/>
    <w:rsid w:val="0037013F"/>
    <w:rsid w:val="0037075B"/>
    <w:rsid w:val="00370D88"/>
    <w:rsid w:val="00374D41"/>
    <w:rsid w:val="0038015F"/>
    <w:rsid w:val="003802DF"/>
    <w:rsid w:val="00380C92"/>
    <w:rsid w:val="00381CE1"/>
    <w:rsid w:val="00383890"/>
    <w:rsid w:val="003846A7"/>
    <w:rsid w:val="003853AC"/>
    <w:rsid w:val="00387A96"/>
    <w:rsid w:val="003914D0"/>
    <w:rsid w:val="0039233E"/>
    <w:rsid w:val="00394A99"/>
    <w:rsid w:val="00394A9B"/>
    <w:rsid w:val="00395188"/>
    <w:rsid w:val="003A0EAB"/>
    <w:rsid w:val="003A1E32"/>
    <w:rsid w:val="003A23CC"/>
    <w:rsid w:val="003A38CF"/>
    <w:rsid w:val="003A3C44"/>
    <w:rsid w:val="003A484F"/>
    <w:rsid w:val="003A4883"/>
    <w:rsid w:val="003A634F"/>
    <w:rsid w:val="003A68AE"/>
    <w:rsid w:val="003B0BE0"/>
    <w:rsid w:val="003B0C1B"/>
    <w:rsid w:val="003B221A"/>
    <w:rsid w:val="003B2C61"/>
    <w:rsid w:val="003B304C"/>
    <w:rsid w:val="003B4841"/>
    <w:rsid w:val="003B4D96"/>
    <w:rsid w:val="003B4DCA"/>
    <w:rsid w:val="003B52BF"/>
    <w:rsid w:val="003B688C"/>
    <w:rsid w:val="003C0291"/>
    <w:rsid w:val="003C1488"/>
    <w:rsid w:val="003C39AE"/>
    <w:rsid w:val="003C43C9"/>
    <w:rsid w:val="003C43EC"/>
    <w:rsid w:val="003C6100"/>
    <w:rsid w:val="003C7B60"/>
    <w:rsid w:val="003D0A1C"/>
    <w:rsid w:val="003D0C0F"/>
    <w:rsid w:val="003D1FB2"/>
    <w:rsid w:val="003D2074"/>
    <w:rsid w:val="003D32E7"/>
    <w:rsid w:val="003D5453"/>
    <w:rsid w:val="003D66DA"/>
    <w:rsid w:val="003D677E"/>
    <w:rsid w:val="003D67A1"/>
    <w:rsid w:val="003D6A21"/>
    <w:rsid w:val="003D6C60"/>
    <w:rsid w:val="003E0B5D"/>
    <w:rsid w:val="003E0E5A"/>
    <w:rsid w:val="003E110E"/>
    <w:rsid w:val="003E1310"/>
    <w:rsid w:val="003E1AB1"/>
    <w:rsid w:val="003E20BB"/>
    <w:rsid w:val="003E20D1"/>
    <w:rsid w:val="003E41F8"/>
    <w:rsid w:val="003E4A4D"/>
    <w:rsid w:val="003E6AE9"/>
    <w:rsid w:val="003E6DFF"/>
    <w:rsid w:val="003E6F55"/>
    <w:rsid w:val="003F0E1D"/>
    <w:rsid w:val="003F26CD"/>
    <w:rsid w:val="003F33ED"/>
    <w:rsid w:val="003F4B54"/>
    <w:rsid w:val="003F5152"/>
    <w:rsid w:val="00400BB8"/>
    <w:rsid w:val="00402F1D"/>
    <w:rsid w:val="0040357F"/>
    <w:rsid w:val="004039F8"/>
    <w:rsid w:val="00404B6F"/>
    <w:rsid w:val="00406254"/>
    <w:rsid w:val="00411344"/>
    <w:rsid w:val="004118B3"/>
    <w:rsid w:val="00411B44"/>
    <w:rsid w:val="00413EA6"/>
    <w:rsid w:val="004144C1"/>
    <w:rsid w:val="004155B6"/>
    <w:rsid w:val="00415756"/>
    <w:rsid w:val="004161FA"/>
    <w:rsid w:val="0041627F"/>
    <w:rsid w:val="004170A7"/>
    <w:rsid w:val="0041721A"/>
    <w:rsid w:val="00417272"/>
    <w:rsid w:val="004223DE"/>
    <w:rsid w:val="004229F5"/>
    <w:rsid w:val="00423A4D"/>
    <w:rsid w:val="00425B8A"/>
    <w:rsid w:val="00425EAB"/>
    <w:rsid w:val="00427F33"/>
    <w:rsid w:val="00431B31"/>
    <w:rsid w:val="00434489"/>
    <w:rsid w:val="004349B9"/>
    <w:rsid w:val="00434CDB"/>
    <w:rsid w:val="00436F48"/>
    <w:rsid w:val="00437085"/>
    <w:rsid w:val="00437983"/>
    <w:rsid w:val="00440B6D"/>
    <w:rsid w:val="00443880"/>
    <w:rsid w:val="004464F4"/>
    <w:rsid w:val="004506BA"/>
    <w:rsid w:val="00451117"/>
    <w:rsid w:val="004518EA"/>
    <w:rsid w:val="0045300E"/>
    <w:rsid w:val="0045323E"/>
    <w:rsid w:val="00454229"/>
    <w:rsid w:val="00454D36"/>
    <w:rsid w:val="00455FC9"/>
    <w:rsid w:val="00456EFE"/>
    <w:rsid w:val="00462681"/>
    <w:rsid w:val="00462D7A"/>
    <w:rsid w:val="004630AF"/>
    <w:rsid w:val="00464E81"/>
    <w:rsid w:val="00471401"/>
    <w:rsid w:val="004719D3"/>
    <w:rsid w:val="004726D3"/>
    <w:rsid w:val="00473F31"/>
    <w:rsid w:val="0047477A"/>
    <w:rsid w:val="00476288"/>
    <w:rsid w:val="00481545"/>
    <w:rsid w:val="00481F8B"/>
    <w:rsid w:val="0048263A"/>
    <w:rsid w:val="0048289E"/>
    <w:rsid w:val="00485175"/>
    <w:rsid w:val="00485596"/>
    <w:rsid w:val="00486926"/>
    <w:rsid w:val="00487E5D"/>
    <w:rsid w:val="004938D6"/>
    <w:rsid w:val="004949F1"/>
    <w:rsid w:val="00495B49"/>
    <w:rsid w:val="00495DBA"/>
    <w:rsid w:val="004977EE"/>
    <w:rsid w:val="00497D03"/>
    <w:rsid w:val="00497E7D"/>
    <w:rsid w:val="004A014C"/>
    <w:rsid w:val="004A2AFE"/>
    <w:rsid w:val="004A513D"/>
    <w:rsid w:val="004A711F"/>
    <w:rsid w:val="004B1910"/>
    <w:rsid w:val="004B199D"/>
    <w:rsid w:val="004B21B0"/>
    <w:rsid w:val="004B3158"/>
    <w:rsid w:val="004B4690"/>
    <w:rsid w:val="004B7568"/>
    <w:rsid w:val="004B7FC9"/>
    <w:rsid w:val="004C103E"/>
    <w:rsid w:val="004C1649"/>
    <w:rsid w:val="004C6C26"/>
    <w:rsid w:val="004D12CF"/>
    <w:rsid w:val="004D37C0"/>
    <w:rsid w:val="004D5061"/>
    <w:rsid w:val="004D51B2"/>
    <w:rsid w:val="004D55C6"/>
    <w:rsid w:val="004D6DDF"/>
    <w:rsid w:val="004E0A2D"/>
    <w:rsid w:val="004E0B62"/>
    <w:rsid w:val="004E15BD"/>
    <w:rsid w:val="004E18D5"/>
    <w:rsid w:val="004E190E"/>
    <w:rsid w:val="004E206B"/>
    <w:rsid w:val="004E3E7B"/>
    <w:rsid w:val="004E404F"/>
    <w:rsid w:val="004E5B62"/>
    <w:rsid w:val="004E6DF7"/>
    <w:rsid w:val="004E7E7D"/>
    <w:rsid w:val="004F0D47"/>
    <w:rsid w:val="004F0FBD"/>
    <w:rsid w:val="004F6AB2"/>
    <w:rsid w:val="004F718B"/>
    <w:rsid w:val="004F7FC2"/>
    <w:rsid w:val="00501C07"/>
    <w:rsid w:val="00502CD7"/>
    <w:rsid w:val="00505A47"/>
    <w:rsid w:val="00506D19"/>
    <w:rsid w:val="005072A1"/>
    <w:rsid w:val="005078CC"/>
    <w:rsid w:val="00512E05"/>
    <w:rsid w:val="00512FDA"/>
    <w:rsid w:val="0051308A"/>
    <w:rsid w:val="00513EA7"/>
    <w:rsid w:val="00514711"/>
    <w:rsid w:val="00514E62"/>
    <w:rsid w:val="0051535F"/>
    <w:rsid w:val="00515FFF"/>
    <w:rsid w:val="005160BE"/>
    <w:rsid w:val="00517CB3"/>
    <w:rsid w:val="00520D8D"/>
    <w:rsid w:val="00520DA0"/>
    <w:rsid w:val="00521C91"/>
    <w:rsid w:val="00521CEE"/>
    <w:rsid w:val="005242E6"/>
    <w:rsid w:val="00524B35"/>
    <w:rsid w:val="00525C41"/>
    <w:rsid w:val="00525CB9"/>
    <w:rsid w:val="005267E0"/>
    <w:rsid w:val="00530DF9"/>
    <w:rsid w:val="00530FDB"/>
    <w:rsid w:val="00531C85"/>
    <w:rsid w:val="00532086"/>
    <w:rsid w:val="00532EC9"/>
    <w:rsid w:val="00532F98"/>
    <w:rsid w:val="00532FE9"/>
    <w:rsid w:val="0053405C"/>
    <w:rsid w:val="00535949"/>
    <w:rsid w:val="00536A33"/>
    <w:rsid w:val="00540A0A"/>
    <w:rsid w:val="00546B12"/>
    <w:rsid w:val="0054709C"/>
    <w:rsid w:val="00550D0E"/>
    <w:rsid w:val="00553698"/>
    <w:rsid w:val="00554621"/>
    <w:rsid w:val="00554973"/>
    <w:rsid w:val="005563F9"/>
    <w:rsid w:val="00557B5B"/>
    <w:rsid w:val="00560034"/>
    <w:rsid w:val="00560B72"/>
    <w:rsid w:val="00560FA2"/>
    <w:rsid w:val="00561ABA"/>
    <w:rsid w:val="00562072"/>
    <w:rsid w:val="005630A2"/>
    <w:rsid w:val="00563EA0"/>
    <w:rsid w:val="0056541D"/>
    <w:rsid w:val="005664BB"/>
    <w:rsid w:val="00566FFA"/>
    <w:rsid w:val="005716E1"/>
    <w:rsid w:val="0057343E"/>
    <w:rsid w:val="00573C48"/>
    <w:rsid w:val="0057419C"/>
    <w:rsid w:val="0057481D"/>
    <w:rsid w:val="00576F94"/>
    <w:rsid w:val="0057711D"/>
    <w:rsid w:val="005824CE"/>
    <w:rsid w:val="005831CB"/>
    <w:rsid w:val="0058351B"/>
    <w:rsid w:val="005840A7"/>
    <w:rsid w:val="005843B3"/>
    <w:rsid w:val="0058486E"/>
    <w:rsid w:val="005849A0"/>
    <w:rsid w:val="00585913"/>
    <w:rsid w:val="00585B33"/>
    <w:rsid w:val="00585FD2"/>
    <w:rsid w:val="005876F7"/>
    <w:rsid w:val="0059014D"/>
    <w:rsid w:val="00591373"/>
    <w:rsid w:val="00591761"/>
    <w:rsid w:val="0059251D"/>
    <w:rsid w:val="005948B2"/>
    <w:rsid w:val="005950A4"/>
    <w:rsid w:val="00595A30"/>
    <w:rsid w:val="00595DE5"/>
    <w:rsid w:val="0059653F"/>
    <w:rsid w:val="00597EBA"/>
    <w:rsid w:val="005A1148"/>
    <w:rsid w:val="005A4017"/>
    <w:rsid w:val="005A4139"/>
    <w:rsid w:val="005A4FCE"/>
    <w:rsid w:val="005A5CF1"/>
    <w:rsid w:val="005A613A"/>
    <w:rsid w:val="005A7C60"/>
    <w:rsid w:val="005B31E9"/>
    <w:rsid w:val="005B5C64"/>
    <w:rsid w:val="005B6B62"/>
    <w:rsid w:val="005B7188"/>
    <w:rsid w:val="005B7866"/>
    <w:rsid w:val="005C0ABF"/>
    <w:rsid w:val="005C0ED6"/>
    <w:rsid w:val="005C33D9"/>
    <w:rsid w:val="005C38EA"/>
    <w:rsid w:val="005C5337"/>
    <w:rsid w:val="005C6BD0"/>
    <w:rsid w:val="005C7271"/>
    <w:rsid w:val="005C743A"/>
    <w:rsid w:val="005D0364"/>
    <w:rsid w:val="005D0D99"/>
    <w:rsid w:val="005D1C8B"/>
    <w:rsid w:val="005D2DB1"/>
    <w:rsid w:val="005D3C32"/>
    <w:rsid w:val="005D468D"/>
    <w:rsid w:val="005D4A1A"/>
    <w:rsid w:val="005D5CED"/>
    <w:rsid w:val="005D70D1"/>
    <w:rsid w:val="005E202A"/>
    <w:rsid w:val="005E28C7"/>
    <w:rsid w:val="005E380F"/>
    <w:rsid w:val="005E3917"/>
    <w:rsid w:val="005E4E65"/>
    <w:rsid w:val="005F1A4C"/>
    <w:rsid w:val="005F2B44"/>
    <w:rsid w:val="005F384C"/>
    <w:rsid w:val="005F3FE0"/>
    <w:rsid w:val="005F441A"/>
    <w:rsid w:val="006016DA"/>
    <w:rsid w:val="00602B92"/>
    <w:rsid w:val="006030D6"/>
    <w:rsid w:val="00603867"/>
    <w:rsid w:val="006039E7"/>
    <w:rsid w:val="00603A63"/>
    <w:rsid w:val="00603B09"/>
    <w:rsid w:val="00603E67"/>
    <w:rsid w:val="00603F36"/>
    <w:rsid w:val="00604143"/>
    <w:rsid w:val="00605688"/>
    <w:rsid w:val="00605F63"/>
    <w:rsid w:val="00606638"/>
    <w:rsid w:val="006070AF"/>
    <w:rsid w:val="006076D9"/>
    <w:rsid w:val="00607E6C"/>
    <w:rsid w:val="006101B1"/>
    <w:rsid w:val="0061116D"/>
    <w:rsid w:val="00614D68"/>
    <w:rsid w:val="00614E44"/>
    <w:rsid w:val="00616FC9"/>
    <w:rsid w:val="0062270A"/>
    <w:rsid w:val="00622830"/>
    <w:rsid w:val="00623309"/>
    <w:rsid w:val="0062376F"/>
    <w:rsid w:val="00623DA0"/>
    <w:rsid w:val="00623E9E"/>
    <w:rsid w:val="00623F78"/>
    <w:rsid w:val="0062454B"/>
    <w:rsid w:val="0062574C"/>
    <w:rsid w:val="00625AD7"/>
    <w:rsid w:val="00630AEF"/>
    <w:rsid w:val="006310D8"/>
    <w:rsid w:val="006325F8"/>
    <w:rsid w:val="00633463"/>
    <w:rsid w:val="00634C9A"/>
    <w:rsid w:val="00636C12"/>
    <w:rsid w:val="006373DD"/>
    <w:rsid w:val="00641C00"/>
    <w:rsid w:val="00642DC4"/>
    <w:rsid w:val="006440E4"/>
    <w:rsid w:val="00645C0F"/>
    <w:rsid w:val="006468A5"/>
    <w:rsid w:val="0064745D"/>
    <w:rsid w:val="00647F35"/>
    <w:rsid w:val="0065022A"/>
    <w:rsid w:val="0065143B"/>
    <w:rsid w:val="00651981"/>
    <w:rsid w:val="00652086"/>
    <w:rsid w:val="0065317F"/>
    <w:rsid w:val="00654F9A"/>
    <w:rsid w:val="006563B8"/>
    <w:rsid w:val="00661D23"/>
    <w:rsid w:val="0066343B"/>
    <w:rsid w:val="00664777"/>
    <w:rsid w:val="00666D85"/>
    <w:rsid w:val="00670DB0"/>
    <w:rsid w:val="0067253D"/>
    <w:rsid w:val="00673A32"/>
    <w:rsid w:val="006748A4"/>
    <w:rsid w:val="00674A35"/>
    <w:rsid w:val="006770DF"/>
    <w:rsid w:val="006814A0"/>
    <w:rsid w:val="00681A31"/>
    <w:rsid w:val="00682702"/>
    <w:rsid w:val="00683E73"/>
    <w:rsid w:val="00684B73"/>
    <w:rsid w:val="00690894"/>
    <w:rsid w:val="00692151"/>
    <w:rsid w:val="00694042"/>
    <w:rsid w:val="00694D2F"/>
    <w:rsid w:val="00696415"/>
    <w:rsid w:val="006A09AA"/>
    <w:rsid w:val="006A17DC"/>
    <w:rsid w:val="006A2227"/>
    <w:rsid w:val="006A3141"/>
    <w:rsid w:val="006A35F7"/>
    <w:rsid w:val="006A5E34"/>
    <w:rsid w:val="006A71B6"/>
    <w:rsid w:val="006B02FA"/>
    <w:rsid w:val="006B05C4"/>
    <w:rsid w:val="006B10DB"/>
    <w:rsid w:val="006B2422"/>
    <w:rsid w:val="006B2B9A"/>
    <w:rsid w:val="006B3A65"/>
    <w:rsid w:val="006B521D"/>
    <w:rsid w:val="006B5866"/>
    <w:rsid w:val="006C0DD9"/>
    <w:rsid w:val="006C1937"/>
    <w:rsid w:val="006C1AFB"/>
    <w:rsid w:val="006C2845"/>
    <w:rsid w:val="006C304D"/>
    <w:rsid w:val="006C4F69"/>
    <w:rsid w:val="006C599D"/>
    <w:rsid w:val="006C5E2E"/>
    <w:rsid w:val="006C7172"/>
    <w:rsid w:val="006D0C80"/>
    <w:rsid w:val="006D44FF"/>
    <w:rsid w:val="006E142D"/>
    <w:rsid w:val="006E1965"/>
    <w:rsid w:val="006E46F3"/>
    <w:rsid w:val="006E51E9"/>
    <w:rsid w:val="006E549D"/>
    <w:rsid w:val="006E5FC2"/>
    <w:rsid w:val="006E6646"/>
    <w:rsid w:val="006E6916"/>
    <w:rsid w:val="006E732C"/>
    <w:rsid w:val="006F020C"/>
    <w:rsid w:val="006F0750"/>
    <w:rsid w:val="006F181F"/>
    <w:rsid w:val="006F1E24"/>
    <w:rsid w:val="006F36A6"/>
    <w:rsid w:val="006F56D2"/>
    <w:rsid w:val="006F5CC1"/>
    <w:rsid w:val="006F6217"/>
    <w:rsid w:val="00701010"/>
    <w:rsid w:val="00701C93"/>
    <w:rsid w:val="00702D60"/>
    <w:rsid w:val="00704194"/>
    <w:rsid w:val="007048B4"/>
    <w:rsid w:val="00707E73"/>
    <w:rsid w:val="00711C98"/>
    <w:rsid w:val="007127B7"/>
    <w:rsid w:val="007165CC"/>
    <w:rsid w:val="00716985"/>
    <w:rsid w:val="0071798E"/>
    <w:rsid w:val="00720858"/>
    <w:rsid w:val="00722C53"/>
    <w:rsid w:val="007232B6"/>
    <w:rsid w:val="0072531A"/>
    <w:rsid w:val="00726B2C"/>
    <w:rsid w:val="007271BD"/>
    <w:rsid w:val="007304E1"/>
    <w:rsid w:val="00733532"/>
    <w:rsid w:val="00733A33"/>
    <w:rsid w:val="00734C35"/>
    <w:rsid w:val="00735FF2"/>
    <w:rsid w:val="0073671A"/>
    <w:rsid w:val="007375DC"/>
    <w:rsid w:val="00737A54"/>
    <w:rsid w:val="00740F5C"/>
    <w:rsid w:val="007416B6"/>
    <w:rsid w:val="00741E77"/>
    <w:rsid w:val="00743080"/>
    <w:rsid w:val="007434EC"/>
    <w:rsid w:val="00743661"/>
    <w:rsid w:val="00744D87"/>
    <w:rsid w:val="0074637E"/>
    <w:rsid w:val="00746893"/>
    <w:rsid w:val="00746F48"/>
    <w:rsid w:val="0075065A"/>
    <w:rsid w:val="00750A70"/>
    <w:rsid w:val="00750C6B"/>
    <w:rsid w:val="007511D7"/>
    <w:rsid w:val="007513FC"/>
    <w:rsid w:val="00751F5E"/>
    <w:rsid w:val="0075371C"/>
    <w:rsid w:val="0075404D"/>
    <w:rsid w:val="007553BC"/>
    <w:rsid w:val="00756202"/>
    <w:rsid w:val="007600B8"/>
    <w:rsid w:val="00760596"/>
    <w:rsid w:val="0076182A"/>
    <w:rsid w:val="00763708"/>
    <w:rsid w:val="00766BE8"/>
    <w:rsid w:val="00767B7E"/>
    <w:rsid w:val="00767CD8"/>
    <w:rsid w:val="00770D3F"/>
    <w:rsid w:val="0077171A"/>
    <w:rsid w:val="00771FAF"/>
    <w:rsid w:val="0077227C"/>
    <w:rsid w:val="007743AE"/>
    <w:rsid w:val="007747ED"/>
    <w:rsid w:val="007770C3"/>
    <w:rsid w:val="00781481"/>
    <w:rsid w:val="0078207C"/>
    <w:rsid w:val="00784D24"/>
    <w:rsid w:val="00785FBA"/>
    <w:rsid w:val="00786CEA"/>
    <w:rsid w:val="00786E4A"/>
    <w:rsid w:val="007875EB"/>
    <w:rsid w:val="00791366"/>
    <w:rsid w:val="00791B44"/>
    <w:rsid w:val="00793372"/>
    <w:rsid w:val="007936B3"/>
    <w:rsid w:val="00793E76"/>
    <w:rsid w:val="0079426B"/>
    <w:rsid w:val="007A2CE2"/>
    <w:rsid w:val="007A3284"/>
    <w:rsid w:val="007B3C83"/>
    <w:rsid w:val="007B5298"/>
    <w:rsid w:val="007B5395"/>
    <w:rsid w:val="007B5B62"/>
    <w:rsid w:val="007B5D4B"/>
    <w:rsid w:val="007B5F64"/>
    <w:rsid w:val="007C078A"/>
    <w:rsid w:val="007C1FCA"/>
    <w:rsid w:val="007C369B"/>
    <w:rsid w:val="007C49E3"/>
    <w:rsid w:val="007C535E"/>
    <w:rsid w:val="007C5DDE"/>
    <w:rsid w:val="007C7967"/>
    <w:rsid w:val="007C7B03"/>
    <w:rsid w:val="007D1682"/>
    <w:rsid w:val="007D2BD2"/>
    <w:rsid w:val="007D2C15"/>
    <w:rsid w:val="007D2E2D"/>
    <w:rsid w:val="007D312A"/>
    <w:rsid w:val="007D399A"/>
    <w:rsid w:val="007D3F19"/>
    <w:rsid w:val="007D4131"/>
    <w:rsid w:val="007D42B7"/>
    <w:rsid w:val="007D47CC"/>
    <w:rsid w:val="007D5398"/>
    <w:rsid w:val="007D68D2"/>
    <w:rsid w:val="007D715A"/>
    <w:rsid w:val="007E23B0"/>
    <w:rsid w:val="007E23E5"/>
    <w:rsid w:val="007E28A1"/>
    <w:rsid w:val="007E2CC4"/>
    <w:rsid w:val="007E3C5A"/>
    <w:rsid w:val="007E7577"/>
    <w:rsid w:val="007F0A6A"/>
    <w:rsid w:val="007F1991"/>
    <w:rsid w:val="007F1C9F"/>
    <w:rsid w:val="007F2C2F"/>
    <w:rsid w:val="007F55FC"/>
    <w:rsid w:val="007F5665"/>
    <w:rsid w:val="007F7557"/>
    <w:rsid w:val="007F7EAE"/>
    <w:rsid w:val="00800112"/>
    <w:rsid w:val="008005D9"/>
    <w:rsid w:val="00800DF5"/>
    <w:rsid w:val="00801BD9"/>
    <w:rsid w:val="00804478"/>
    <w:rsid w:val="0081064B"/>
    <w:rsid w:val="00813348"/>
    <w:rsid w:val="008135D5"/>
    <w:rsid w:val="008142D3"/>
    <w:rsid w:val="00817995"/>
    <w:rsid w:val="00820651"/>
    <w:rsid w:val="008242DF"/>
    <w:rsid w:val="00824C53"/>
    <w:rsid w:val="008253BB"/>
    <w:rsid w:val="008255CB"/>
    <w:rsid w:val="0082600D"/>
    <w:rsid w:val="0082690D"/>
    <w:rsid w:val="00826D52"/>
    <w:rsid w:val="00827E55"/>
    <w:rsid w:val="008311F2"/>
    <w:rsid w:val="0083178D"/>
    <w:rsid w:val="00832840"/>
    <w:rsid w:val="008347CC"/>
    <w:rsid w:val="00834869"/>
    <w:rsid w:val="00834CF8"/>
    <w:rsid w:val="0083606B"/>
    <w:rsid w:val="008361BC"/>
    <w:rsid w:val="008367F3"/>
    <w:rsid w:val="0083706E"/>
    <w:rsid w:val="00840731"/>
    <w:rsid w:val="008408F6"/>
    <w:rsid w:val="0084221E"/>
    <w:rsid w:val="008423A5"/>
    <w:rsid w:val="008430FA"/>
    <w:rsid w:val="00843BCC"/>
    <w:rsid w:val="00844856"/>
    <w:rsid w:val="00844AED"/>
    <w:rsid w:val="0084567C"/>
    <w:rsid w:val="00845F38"/>
    <w:rsid w:val="008474C7"/>
    <w:rsid w:val="00847750"/>
    <w:rsid w:val="00850625"/>
    <w:rsid w:val="0085173F"/>
    <w:rsid w:val="00851BD4"/>
    <w:rsid w:val="00853153"/>
    <w:rsid w:val="00853718"/>
    <w:rsid w:val="008542FE"/>
    <w:rsid w:val="008549C8"/>
    <w:rsid w:val="00855221"/>
    <w:rsid w:val="008567AA"/>
    <w:rsid w:val="00857468"/>
    <w:rsid w:val="00860645"/>
    <w:rsid w:val="00864684"/>
    <w:rsid w:val="00865BFA"/>
    <w:rsid w:val="00865F7E"/>
    <w:rsid w:val="0086624D"/>
    <w:rsid w:val="008673BA"/>
    <w:rsid w:val="00867590"/>
    <w:rsid w:val="00871F1F"/>
    <w:rsid w:val="00871F71"/>
    <w:rsid w:val="008725FC"/>
    <w:rsid w:val="00872B9A"/>
    <w:rsid w:val="00872FD8"/>
    <w:rsid w:val="0087329E"/>
    <w:rsid w:val="00873D5E"/>
    <w:rsid w:val="0087481C"/>
    <w:rsid w:val="00874E85"/>
    <w:rsid w:val="0087510E"/>
    <w:rsid w:val="00875B33"/>
    <w:rsid w:val="00876A6E"/>
    <w:rsid w:val="00876C76"/>
    <w:rsid w:val="00876D9B"/>
    <w:rsid w:val="00877978"/>
    <w:rsid w:val="00877D8F"/>
    <w:rsid w:val="00882371"/>
    <w:rsid w:val="00883DB9"/>
    <w:rsid w:val="00885AF4"/>
    <w:rsid w:val="00886978"/>
    <w:rsid w:val="008924AC"/>
    <w:rsid w:val="00892EB6"/>
    <w:rsid w:val="008939C7"/>
    <w:rsid w:val="008939CD"/>
    <w:rsid w:val="00893D7D"/>
    <w:rsid w:val="00895E37"/>
    <w:rsid w:val="0089657F"/>
    <w:rsid w:val="008974B5"/>
    <w:rsid w:val="00897E23"/>
    <w:rsid w:val="008A0BB8"/>
    <w:rsid w:val="008A36F6"/>
    <w:rsid w:val="008A4122"/>
    <w:rsid w:val="008A6C34"/>
    <w:rsid w:val="008A719D"/>
    <w:rsid w:val="008A7AEB"/>
    <w:rsid w:val="008B0683"/>
    <w:rsid w:val="008B1CA1"/>
    <w:rsid w:val="008B3A08"/>
    <w:rsid w:val="008B4800"/>
    <w:rsid w:val="008B5E87"/>
    <w:rsid w:val="008B6E38"/>
    <w:rsid w:val="008B768C"/>
    <w:rsid w:val="008C27F3"/>
    <w:rsid w:val="008C2A5B"/>
    <w:rsid w:val="008C3457"/>
    <w:rsid w:val="008C3E2E"/>
    <w:rsid w:val="008C4DB1"/>
    <w:rsid w:val="008C4EAF"/>
    <w:rsid w:val="008C5176"/>
    <w:rsid w:val="008C5DFA"/>
    <w:rsid w:val="008C5F6E"/>
    <w:rsid w:val="008C73EC"/>
    <w:rsid w:val="008C79BB"/>
    <w:rsid w:val="008C7BB9"/>
    <w:rsid w:val="008C7FD0"/>
    <w:rsid w:val="008D1A8F"/>
    <w:rsid w:val="008D576D"/>
    <w:rsid w:val="008D5BF5"/>
    <w:rsid w:val="008D6F02"/>
    <w:rsid w:val="008E094A"/>
    <w:rsid w:val="008E1669"/>
    <w:rsid w:val="008E16BB"/>
    <w:rsid w:val="008E1ABA"/>
    <w:rsid w:val="008E1DE7"/>
    <w:rsid w:val="008E291D"/>
    <w:rsid w:val="008E2FDC"/>
    <w:rsid w:val="008E34C5"/>
    <w:rsid w:val="008E5F3C"/>
    <w:rsid w:val="008E6ACA"/>
    <w:rsid w:val="008E6C81"/>
    <w:rsid w:val="008E707C"/>
    <w:rsid w:val="008E752B"/>
    <w:rsid w:val="008E7853"/>
    <w:rsid w:val="008F1F48"/>
    <w:rsid w:val="008F220C"/>
    <w:rsid w:val="008F2D0C"/>
    <w:rsid w:val="008F4C6A"/>
    <w:rsid w:val="00900535"/>
    <w:rsid w:val="00900B08"/>
    <w:rsid w:val="00900ED0"/>
    <w:rsid w:val="00901318"/>
    <w:rsid w:val="00901499"/>
    <w:rsid w:val="00901582"/>
    <w:rsid w:val="00901781"/>
    <w:rsid w:val="00902155"/>
    <w:rsid w:val="00902A01"/>
    <w:rsid w:val="00902FA3"/>
    <w:rsid w:val="0090378C"/>
    <w:rsid w:val="00906095"/>
    <w:rsid w:val="00906620"/>
    <w:rsid w:val="00906964"/>
    <w:rsid w:val="00907BCE"/>
    <w:rsid w:val="00907C48"/>
    <w:rsid w:val="009103D2"/>
    <w:rsid w:val="00910737"/>
    <w:rsid w:val="0091191E"/>
    <w:rsid w:val="00911E27"/>
    <w:rsid w:val="009126D5"/>
    <w:rsid w:val="00913F40"/>
    <w:rsid w:val="00917712"/>
    <w:rsid w:val="009217B7"/>
    <w:rsid w:val="0092207D"/>
    <w:rsid w:val="00923564"/>
    <w:rsid w:val="0092392E"/>
    <w:rsid w:val="009248CD"/>
    <w:rsid w:val="00925FF9"/>
    <w:rsid w:val="009264DB"/>
    <w:rsid w:val="00926DA6"/>
    <w:rsid w:val="009315F9"/>
    <w:rsid w:val="00933499"/>
    <w:rsid w:val="009336C1"/>
    <w:rsid w:val="009345C2"/>
    <w:rsid w:val="0093598D"/>
    <w:rsid w:val="00935C98"/>
    <w:rsid w:val="009363A7"/>
    <w:rsid w:val="009369C5"/>
    <w:rsid w:val="0094069F"/>
    <w:rsid w:val="00942C19"/>
    <w:rsid w:val="00943186"/>
    <w:rsid w:val="00946945"/>
    <w:rsid w:val="00946F20"/>
    <w:rsid w:val="009473D7"/>
    <w:rsid w:val="009505D4"/>
    <w:rsid w:val="00951248"/>
    <w:rsid w:val="0095152F"/>
    <w:rsid w:val="009515A6"/>
    <w:rsid w:val="0095444A"/>
    <w:rsid w:val="009545E9"/>
    <w:rsid w:val="00954C49"/>
    <w:rsid w:val="00955E37"/>
    <w:rsid w:val="00955F39"/>
    <w:rsid w:val="0095654E"/>
    <w:rsid w:val="00965602"/>
    <w:rsid w:val="00967143"/>
    <w:rsid w:val="009675A7"/>
    <w:rsid w:val="00967B18"/>
    <w:rsid w:val="00967C91"/>
    <w:rsid w:val="0097099F"/>
    <w:rsid w:val="00971997"/>
    <w:rsid w:val="00971BA1"/>
    <w:rsid w:val="00971FFC"/>
    <w:rsid w:val="0097450C"/>
    <w:rsid w:val="009765BA"/>
    <w:rsid w:val="00980726"/>
    <w:rsid w:val="00980EA6"/>
    <w:rsid w:val="00980EC0"/>
    <w:rsid w:val="00980FC6"/>
    <w:rsid w:val="00981FDE"/>
    <w:rsid w:val="009860AB"/>
    <w:rsid w:val="00986419"/>
    <w:rsid w:val="0098660A"/>
    <w:rsid w:val="0098794D"/>
    <w:rsid w:val="00990EE3"/>
    <w:rsid w:val="00992E30"/>
    <w:rsid w:val="009931C3"/>
    <w:rsid w:val="009943CE"/>
    <w:rsid w:val="0099531B"/>
    <w:rsid w:val="009959F2"/>
    <w:rsid w:val="00996A1D"/>
    <w:rsid w:val="00997CE2"/>
    <w:rsid w:val="00997F9E"/>
    <w:rsid w:val="009A0F69"/>
    <w:rsid w:val="009A136E"/>
    <w:rsid w:val="009A14D5"/>
    <w:rsid w:val="009A2FC4"/>
    <w:rsid w:val="009A3FB1"/>
    <w:rsid w:val="009A4A2C"/>
    <w:rsid w:val="009A5101"/>
    <w:rsid w:val="009A5E89"/>
    <w:rsid w:val="009A6F19"/>
    <w:rsid w:val="009A7EED"/>
    <w:rsid w:val="009B0091"/>
    <w:rsid w:val="009B19BA"/>
    <w:rsid w:val="009B2694"/>
    <w:rsid w:val="009B2C43"/>
    <w:rsid w:val="009B4556"/>
    <w:rsid w:val="009B48C3"/>
    <w:rsid w:val="009B4EAE"/>
    <w:rsid w:val="009B741B"/>
    <w:rsid w:val="009B7573"/>
    <w:rsid w:val="009B7827"/>
    <w:rsid w:val="009B7F6C"/>
    <w:rsid w:val="009C22F4"/>
    <w:rsid w:val="009C2A4B"/>
    <w:rsid w:val="009C2E98"/>
    <w:rsid w:val="009C301D"/>
    <w:rsid w:val="009C3700"/>
    <w:rsid w:val="009C4741"/>
    <w:rsid w:val="009C69D3"/>
    <w:rsid w:val="009D0257"/>
    <w:rsid w:val="009D06C1"/>
    <w:rsid w:val="009D20D7"/>
    <w:rsid w:val="009D2532"/>
    <w:rsid w:val="009D3447"/>
    <w:rsid w:val="009D4711"/>
    <w:rsid w:val="009D5079"/>
    <w:rsid w:val="009D7986"/>
    <w:rsid w:val="009E16A2"/>
    <w:rsid w:val="009E183B"/>
    <w:rsid w:val="009E210F"/>
    <w:rsid w:val="009E2532"/>
    <w:rsid w:val="009E3EA4"/>
    <w:rsid w:val="009E4C00"/>
    <w:rsid w:val="009E6A35"/>
    <w:rsid w:val="009F0CF8"/>
    <w:rsid w:val="009F0CFA"/>
    <w:rsid w:val="009F1185"/>
    <w:rsid w:val="009F120F"/>
    <w:rsid w:val="009F18CD"/>
    <w:rsid w:val="009F293F"/>
    <w:rsid w:val="009F2A13"/>
    <w:rsid w:val="009F3F7B"/>
    <w:rsid w:val="009F68D4"/>
    <w:rsid w:val="009F6BAF"/>
    <w:rsid w:val="009F7527"/>
    <w:rsid w:val="00A005A7"/>
    <w:rsid w:val="00A00777"/>
    <w:rsid w:val="00A018E3"/>
    <w:rsid w:val="00A02628"/>
    <w:rsid w:val="00A04E9B"/>
    <w:rsid w:val="00A04EB0"/>
    <w:rsid w:val="00A05241"/>
    <w:rsid w:val="00A10824"/>
    <w:rsid w:val="00A10CB2"/>
    <w:rsid w:val="00A10DC7"/>
    <w:rsid w:val="00A11584"/>
    <w:rsid w:val="00A12BF2"/>
    <w:rsid w:val="00A1376D"/>
    <w:rsid w:val="00A13BD7"/>
    <w:rsid w:val="00A13CC1"/>
    <w:rsid w:val="00A14695"/>
    <w:rsid w:val="00A1566D"/>
    <w:rsid w:val="00A156C5"/>
    <w:rsid w:val="00A16847"/>
    <w:rsid w:val="00A16B2F"/>
    <w:rsid w:val="00A21077"/>
    <w:rsid w:val="00A21CD7"/>
    <w:rsid w:val="00A221C6"/>
    <w:rsid w:val="00A2282A"/>
    <w:rsid w:val="00A2352A"/>
    <w:rsid w:val="00A237D8"/>
    <w:rsid w:val="00A243AA"/>
    <w:rsid w:val="00A24723"/>
    <w:rsid w:val="00A2619D"/>
    <w:rsid w:val="00A265EA"/>
    <w:rsid w:val="00A268C4"/>
    <w:rsid w:val="00A30209"/>
    <w:rsid w:val="00A307CD"/>
    <w:rsid w:val="00A3152B"/>
    <w:rsid w:val="00A331C8"/>
    <w:rsid w:val="00A35EAB"/>
    <w:rsid w:val="00A36754"/>
    <w:rsid w:val="00A36974"/>
    <w:rsid w:val="00A369FA"/>
    <w:rsid w:val="00A40A00"/>
    <w:rsid w:val="00A4142F"/>
    <w:rsid w:val="00A422EB"/>
    <w:rsid w:val="00A42367"/>
    <w:rsid w:val="00A44C66"/>
    <w:rsid w:val="00A45BB7"/>
    <w:rsid w:val="00A46C59"/>
    <w:rsid w:val="00A47583"/>
    <w:rsid w:val="00A501B4"/>
    <w:rsid w:val="00A50911"/>
    <w:rsid w:val="00A51A48"/>
    <w:rsid w:val="00A529BF"/>
    <w:rsid w:val="00A54578"/>
    <w:rsid w:val="00A54627"/>
    <w:rsid w:val="00A54A41"/>
    <w:rsid w:val="00A56DF2"/>
    <w:rsid w:val="00A56E6E"/>
    <w:rsid w:val="00A576FC"/>
    <w:rsid w:val="00A57CFA"/>
    <w:rsid w:val="00A60167"/>
    <w:rsid w:val="00A602FE"/>
    <w:rsid w:val="00A60441"/>
    <w:rsid w:val="00A61171"/>
    <w:rsid w:val="00A646CB"/>
    <w:rsid w:val="00A65035"/>
    <w:rsid w:val="00A65B9C"/>
    <w:rsid w:val="00A66163"/>
    <w:rsid w:val="00A661AB"/>
    <w:rsid w:val="00A67AB5"/>
    <w:rsid w:val="00A70020"/>
    <w:rsid w:val="00A70EE0"/>
    <w:rsid w:val="00A718B9"/>
    <w:rsid w:val="00A71BE4"/>
    <w:rsid w:val="00A72DAA"/>
    <w:rsid w:val="00A733B2"/>
    <w:rsid w:val="00A73741"/>
    <w:rsid w:val="00A738B3"/>
    <w:rsid w:val="00A741C2"/>
    <w:rsid w:val="00A741FE"/>
    <w:rsid w:val="00A76C6E"/>
    <w:rsid w:val="00A809BE"/>
    <w:rsid w:val="00A8139B"/>
    <w:rsid w:val="00A829E0"/>
    <w:rsid w:val="00A845E5"/>
    <w:rsid w:val="00A84B27"/>
    <w:rsid w:val="00A869C4"/>
    <w:rsid w:val="00A86F65"/>
    <w:rsid w:val="00A877E0"/>
    <w:rsid w:val="00A91226"/>
    <w:rsid w:val="00A91760"/>
    <w:rsid w:val="00A93B00"/>
    <w:rsid w:val="00A93BFD"/>
    <w:rsid w:val="00A93C21"/>
    <w:rsid w:val="00A96AA6"/>
    <w:rsid w:val="00AB20AC"/>
    <w:rsid w:val="00AB304B"/>
    <w:rsid w:val="00AB352E"/>
    <w:rsid w:val="00AB3669"/>
    <w:rsid w:val="00AB375B"/>
    <w:rsid w:val="00AB3952"/>
    <w:rsid w:val="00AB5E55"/>
    <w:rsid w:val="00AB64C9"/>
    <w:rsid w:val="00AC0790"/>
    <w:rsid w:val="00AC227E"/>
    <w:rsid w:val="00AC22A2"/>
    <w:rsid w:val="00AC3C6A"/>
    <w:rsid w:val="00AC5DA6"/>
    <w:rsid w:val="00AC68B4"/>
    <w:rsid w:val="00AC77A9"/>
    <w:rsid w:val="00AC7E67"/>
    <w:rsid w:val="00AD1BBA"/>
    <w:rsid w:val="00AD221B"/>
    <w:rsid w:val="00AD4924"/>
    <w:rsid w:val="00AD5620"/>
    <w:rsid w:val="00AD656B"/>
    <w:rsid w:val="00AD7960"/>
    <w:rsid w:val="00AD7C1B"/>
    <w:rsid w:val="00AE16BA"/>
    <w:rsid w:val="00AE173C"/>
    <w:rsid w:val="00AE1EBE"/>
    <w:rsid w:val="00AE41FC"/>
    <w:rsid w:val="00AE4B2C"/>
    <w:rsid w:val="00AE4CF1"/>
    <w:rsid w:val="00AE4EC7"/>
    <w:rsid w:val="00AE7709"/>
    <w:rsid w:val="00AE77E3"/>
    <w:rsid w:val="00AE7857"/>
    <w:rsid w:val="00AF0170"/>
    <w:rsid w:val="00AF05FC"/>
    <w:rsid w:val="00AF1B9E"/>
    <w:rsid w:val="00AF375B"/>
    <w:rsid w:val="00AF4016"/>
    <w:rsid w:val="00AF40DF"/>
    <w:rsid w:val="00AF6263"/>
    <w:rsid w:val="00AF76F5"/>
    <w:rsid w:val="00AF7FEA"/>
    <w:rsid w:val="00B01009"/>
    <w:rsid w:val="00B03527"/>
    <w:rsid w:val="00B03C9D"/>
    <w:rsid w:val="00B04B53"/>
    <w:rsid w:val="00B060AE"/>
    <w:rsid w:val="00B10517"/>
    <w:rsid w:val="00B11F74"/>
    <w:rsid w:val="00B12CCB"/>
    <w:rsid w:val="00B13006"/>
    <w:rsid w:val="00B130E1"/>
    <w:rsid w:val="00B134C7"/>
    <w:rsid w:val="00B141E1"/>
    <w:rsid w:val="00B14E76"/>
    <w:rsid w:val="00B15DFE"/>
    <w:rsid w:val="00B161B8"/>
    <w:rsid w:val="00B16751"/>
    <w:rsid w:val="00B171AF"/>
    <w:rsid w:val="00B20090"/>
    <w:rsid w:val="00B202F3"/>
    <w:rsid w:val="00B2048C"/>
    <w:rsid w:val="00B20570"/>
    <w:rsid w:val="00B218E1"/>
    <w:rsid w:val="00B2210D"/>
    <w:rsid w:val="00B22130"/>
    <w:rsid w:val="00B23C91"/>
    <w:rsid w:val="00B23FB4"/>
    <w:rsid w:val="00B24ED0"/>
    <w:rsid w:val="00B250B5"/>
    <w:rsid w:val="00B26378"/>
    <w:rsid w:val="00B26529"/>
    <w:rsid w:val="00B26F6C"/>
    <w:rsid w:val="00B2799E"/>
    <w:rsid w:val="00B310B9"/>
    <w:rsid w:val="00B31685"/>
    <w:rsid w:val="00B342C8"/>
    <w:rsid w:val="00B35229"/>
    <w:rsid w:val="00B356D0"/>
    <w:rsid w:val="00B35F3F"/>
    <w:rsid w:val="00B36CBB"/>
    <w:rsid w:val="00B40EF5"/>
    <w:rsid w:val="00B4166B"/>
    <w:rsid w:val="00B425E0"/>
    <w:rsid w:val="00B440AA"/>
    <w:rsid w:val="00B44B70"/>
    <w:rsid w:val="00B45132"/>
    <w:rsid w:val="00B457D4"/>
    <w:rsid w:val="00B472E8"/>
    <w:rsid w:val="00B5187A"/>
    <w:rsid w:val="00B51CD5"/>
    <w:rsid w:val="00B53C56"/>
    <w:rsid w:val="00B5411C"/>
    <w:rsid w:val="00B5678D"/>
    <w:rsid w:val="00B57DAF"/>
    <w:rsid w:val="00B62108"/>
    <w:rsid w:val="00B64A1E"/>
    <w:rsid w:val="00B64C38"/>
    <w:rsid w:val="00B66D52"/>
    <w:rsid w:val="00B708B4"/>
    <w:rsid w:val="00B70ED7"/>
    <w:rsid w:val="00B70FE8"/>
    <w:rsid w:val="00B77D65"/>
    <w:rsid w:val="00B77EA6"/>
    <w:rsid w:val="00B8015A"/>
    <w:rsid w:val="00B81598"/>
    <w:rsid w:val="00B83D1A"/>
    <w:rsid w:val="00B841F1"/>
    <w:rsid w:val="00B84A6C"/>
    <w:rsid w:val="00B85E68"/>
    <w:rsid w:val="00B87192"/>
    <w:rsid w:val="00B91E9C"/>
    <w:rsid w:val="00B92171"/>
    <w:rsid w:val="00B92851"/>
    <w:rsid w:val="00B939FA"/>
    <w:rsid w:val="00B940BB"/>
    <w:rsid w:val="00B944D6"/>
    <w:rsid w:val="00B94B19"/>
    <w:rsid w:val="00B9536D"/>
    <w:rsid w:val="00B96B83"/>
    <w:rsid w:val="00B96C83"/>
    <w:rsid w:val="00BA117F"/>
    <w:rsid w:val="00BA364E"/>
    <w:rsid w:val="00BA658D"/>
    <w:rsid w:val="00BB101C"/>
    <w:rsid w:val="00BB2210"/>
    <w:rsid w:val="00BB2DA9"/>
    <w:rsid w:val="00BB2DF5"/>
    <w:rsid w:val="00BB2F9D"/>
    <w:rsid w:val="00BB416E"/>
    <w:rsid w:val="00BB4DF0"/>
    <w:rsid w:val="00BB71D6"/>
    <w:rsid w:val="00BB795D"/>
    <w:rsid w:val="00BB7A43"/>
    <w:rsid w:val="00BC07A9"/>
    <w:rsid w:val="00BC289F"/>
    <w:rsid w:val="00BC2D50"/>
    <w:rsid w:val="00BC5361"/>
    <w:rsid w:val="00BC5460"/>
    <w:rsid w:val="00BC62D4"/>
    <w:rsid w:val="00BC6B50"/>
    <w:rsid w:val="00BD0E25"/>
    <w:rsid w:val="00BD100E"/>
    <w:rsid w:val="00BD1681"/>
    <w:rsid w:val="00BD1ABA"/>
    <w:rsid w:val="00BD43D1"/>
    <w:rsid w:val="00BD4433"/>
    <w:rsid w:val="00BD56BC"/>
    <w:rsid w:val="00BD7D2F"/>
    <w:rsid w:val="00BE509C"/>
    <w:rsid w:val="00BE7E49"/>
    <w:rsid w:val="00BF1A7C"/>
    <w:rsid w:val="00BF4F96"/>
    <w:rsid w:val="00BF5BD6"/>
    <w:rsid w:val="00BF7050"/>
    <w:rsid w:val="00BF72ED"/>
    <w:rsid w:val="00BF74EE"/>
    <w:rsid w:val="00BF786A"/>
    <w:rsid w:val="00BF7A75"/>
    <w:rsid w:val="00C01383"/>
    <w:rsid w:val="00C01A65"/>
    <w:rsid w:val="00C03E31"/>
    <w:rsid w:val="00C06FE4"/>
    <w:rsid w:val="00C077FA"/>
    <w:rsid w:val="00C10178"/>
    <w:rsid w:val="00C11D60"/>
    <w:rsid w:val="00C12190"/>
    <w:rsid w:val="00C12ADD"/>
    <w:rsid w:val="00C12CC6"/>
    <w:rsid w:val="00C13440"/>
    <w:rsid w:val="00C1378B"/>
    <w:rsid w:val="00C1475D"/>
    <w:rsid w:val="00C14A7A"/>
    <w:rsid w:val="00C1592B"/>
    <w:rsid w:val="00C15DDE"/>
    <w:rsid w:val="00C16EBF"/>
    <w:rsid w:val="00C170AD"/>
    <w:rsid w:val="00C17CCA"/>
    <w:rsid w:val="00C22141"/>
    <w:rsid w:val="00C235C0"/>
    <w:rsid w:val="00C241B0"/>
    <w:rsid w:val="00C2548C"/>
    <w:rsid w:val="00C25D9A"/>
    <w:rsid w:val="00C260AD"/>
    <w:rsid w:val="00C2645D"/>
    <w:rsid w:val="00C2748C"/>
    <w:rsid w:val="00C27EAE"/>
    <w:rsid w:val="00C33C8C"/>
    <w:rsid w:val="00C33CBF"/>
    <w:rsid w:val="00C33E72"/>
    <w:rsid w:val="00C3464D"/>
    <w:rsid w:val="00C34A7B"/>
    <w:rsid w:val="00C34FF5"/>
    <w:rsid w:val="00C354B2"/>
    <w:rsid w:val="00C35554"/>
    <w:rsid w:val="00C355C6"/>
    <w:rsid w:val="00C36175"/>
    <w:rsid w:val="00C37319"/>
    <w:rsid w:val="00C37857"/>
    <w:rsid w:val="00C37EE3"/>
    <w:rsid w:val="00C42087"/>
    <w:rsid w:val="00C42709"/>
    <w:rsid w:val="00C429A5"/>
    <w:rsid w:val="00C42A9F"/>
    <w:rsid w:val="00C464D1"/>
    <w:rsid w:val="00C466ED"/>
    <w:rsid w:val="00C47B70"/>
    <w:rsid w:val="00C5161F"/>
    <w:rsid w:val="00C5228D"/>
    <w:rsid w:val="00C533CC"/>
    <w:rsid w:val="00C53BE3"/>
    <w:rsid w:val="00C553CD"/>
    <w:rsid w:val="00C558EF"/>
    <w:rsid w:val="00C56BB7"/>
    <w:rsid w:val="00C5751C"/>
    <w:rsid w:val="00C606FF"/>
    <w:rsid w:val="00C60D59"/>
    <w:rsid w:val="00C6199A"/>
    <w:rsid w:val="00C61BFC"/>
    <w:rsid w:val="00C622B4"/>
    <w:rsid w:val="00C62B85"/>
    <w:rsid w:val="00C62EC5"/>
    <w:rsid w:val="00C63A52"/>
    <w:rsid w:val="00C6405A"/>
    <w:rsid w:val="00C643E0"/>
    <w:rsid w:val="00C6515E"/>
    <w:rsid w:val="00C65438"/>
    <w:rsid w:val="00C72AB6"/>
    <w:rsid w:val="00C72BC8"/>
    <w:rsid w:val="00C74247"/>
    <w:rsid w:val="00C747B1"/>
    <w:rsid w:val="00C748EA"/>
    <w:rsid w:val="00C74DEB"/>
    <w:rsid w:val="00C7712A"/>
    <w:rsid w:val="00C77152"/>
    <w:rsid w:val="00C772EF"/>
    <w:rsid w:val="00C81CE8"/>
    <w:rsid w:val="00C8356E"/>
    <w:rsid w:val="00C83E56"/>
    <w:rsid w:val="00C8689A"/>
    <w:rsid w:val="00C86CE4"/>
    <w:rsid w:val="00C87FD8"/>
    <w:rsid w:val="00C90CB7"/>
    <w:rsid w:val="00C91381"/>
    <w:rsid w:val="00C91CBB"/>
    <w:rsid w:val="00C92157"/>
    <w:rsid w:val="00C92A9A"/>
    <w:rsid w:val="00C95222"/>
    <w:rsid w:val="00C955BA"/>
    <w:rsid w:val="00C96A40"/>
    <w:rsid w:val="00C96B8F"/>
    <w:rsid w:val="00C96F9B"/>
    <w:rsid w:val="00C97A85"/>
    <w:rsid w:val="00C97DF3"/>
    <w:rsid w:val="00CA17E8"/>
    <w:rsid w:val="00CA29F9"/>
    <w:rsid w:val="00CA3B4C"/>
    <w:rsid w:val="00CA440B"/>
    <w:rsid w:val="00CA6097"/>
    <w:rsid w:val="00CA68F5"/>
    <w:rsid w:val="00CA721B"/>
    <w:rsid w:val="00CB0DD7"/>
    <w:rsid w:val="00CB12EE"/>
    <w:rsid w:val="00CB1D02"/>
    <w:rsid w:val="00CB2029"/>
    <w:rsid w:val="00CB308B"/>
    <w:rsid w:val="00CB3353"/>
    <w:rsid w:val="00CB3896"/>
    <w:rsid w:val="00CB39CC"/>
    <w:rsid w:val="00CB3C50"/>
    <w:rsid w:val="00CB4E70"/>
    <w:rsid w:val="00CB67A5"/>
    <w:rsid w:val="00CB7E45"/>
    <w:rsid w:val="00CC09B6"/>
    <w:rsid w:val="00CC1418"/>
    <w:rsid w:val="00CC3619"/>
    <w:rsid w:val="00CC46AC"/>
    <w:rsid w:val="00CC589B"/>
    <w:rsid w:val="00CC5F96"/>
    <w:rsid w:val="00CC666F"/>
    <w:rsid w:val="00CD0D72"/>
    <w:rsid w:val="00CD1BBB"/>
    <w:rsid w:val="00CD1E3F"/>
    <w:rsid w:val="00CD1EA6"/>
    <w:rsid w:val="00CD21B9"/>
    <w:rsid w:val="00CD4F27"/>
    <w:rsid w:val="00CD5817"/>
    <w:rsid w:val="00CD5F62"/>
    <w:rsid w:val="00CE060E"/>
    <w:rsid w:val="00CE1DF7"/>
    <w:rsid w:val="00CE2087"/>
    <w:rsid w:val="00CE2B02"/>
    <w:rsid w:val="00CE34DD"/>
    <w:rsid w:val="00CE43A3"/>
    <w:rsid w:val="00CE44F6"/>
    <w:rsid w:val="00CE49DA"/>
    <w:rsid w:val="00CE74BA"/>
    <w:rsid w:val="00CE758B"/>
    <w:rsid w:val="00CE7B61"/>
    <w:rsid w:val="00CF1232"/>
    <w:rsid w:val="00CF127B"/>
    <w:rsid w:val="00CF40C3"/>
    <w:rsid w:val="00CF431A"/>
    <w:rsid w:val="00CF4E56"/>
    <w:rsid w:val="00CF6BD6"/>
    <w:rsid w:val="00D00095"/>
    <w:rsid w:val="00D00BF9"/>
    <w:rsid w:val="00D00D5E"/>
    <w:rsid w:val="00D01A95"/>
    <w:rsid w:val="00D03074"/>
    <w:rsid w:val="00D031C9"/>
    <w:rsid w:val="00D037EB"/>
    <w:rsid w:val="00D03F2E"/>
    <w:rsid w:val="00D04392"/>
    <w:rsid w:val="00D106A8"/>
    <w:rsid w:val="00D10ED9"/>
    <w:rsid w:val="00D114F0"/>
    <w:rsid w:val="00D11BBF"/>
    <w:rsid w:val="00D12CCA"/>
    <w:rsid w:val="00D13956"/>
    <w:rsid w:val="00D161DA"/>
    <w:rsid w:val="00D16BBE"/>
    <w:rsid w:val="00D20620"/>
    <w:rsid w:val="00D225C0"/>
    <w:rsid w:val="00D22E0F"/>
    <w:rsid w:val="00D245DE"/>
    <w:rsid w:val="00D254F7"/>
    <w:rsid w:val="00D256C2"/>
    <w:rsid w:val="00D26091"/>
    <w:rsid w:val="00D2637F"/>
    <w:rsid w:val="00D266C6"/>
    <w:rsid w:val="00D2685C"/>
    <w:rsid w:val="00D27E22"/>
    <w:rsid w:val="00D30B0A"/>
    <w:rsid w:val="00D3261B"/>
    <w:rsid w:val="00D3405D"/>
    <w:rsid w:val="00D3406D"/>
    <w:rsid w:val="00D34596"/>
    <w:rsid w:val="00D34E7C"/>
    <w:rsid w:val="00D35489"/>
    <w:rsid w:val="00D35F52"/>
    <w:rsid w:val="00D36AFE"/>
    <w:rsid w:val="00D409F4"/>
    <w:rsid w:val="00D40B0A"/>
    <w:rsid w:val="00D42EA8"/>
    <w:rsid w:val="00D442B9"/>
    <w:rsid w:val="00D44557"/>
    <w:rsid w:val="00D44A18"/>
    <w:rsid w:val="00D46F59"/>
    <w:rsid w:val="00D50E1F"/>
    <w:rsid w:val="00D51276"/>
    <w:rsid w:val="00D5136B"/>
    <w:rsid w:val="00D516F7"/>
    <w:rsid w:val="00D51CB8"/>
    <w:rsid w:val="00D540BE"/>
    <w:rsid w:val="00D543EB"/>
    <w:rsid w:val="00D5570B"/>
    <w:rsid w:val="00D55B67"/>
    <w:rsid w:val="00D61CF2"/>
    <w:rsid w:val="00D6283C"/>
    <w:rsid w:val="00D64C42"/>
    <w:rsid w:val="00D6507F"/>
    <w:rsid w:val="00D7035F"/>
    <w:rsid w:val="00D7194F"/>
    <w:rsid w:val="00D72262"/>
    <w:rsid w:val="00D73327"/>
    <w:rsid w:val="00D76EF0"/>
    <w:rsid w:val="00D825E6"/>
    <w:rsid w:val="00D85AC8"/>
    <w:rsid w:val="00D85C1C"/>
    <w:rsid w:val="00D9076C"/>
    <w:rsid w:val="00D93121"/>
    <w:rsid w:val="00D9572B"/>
    <w:rsid w:val="00D95E4D"/>
    <w:rsid w:val="00DA1116"/>
    <w:rsid w:val="00DA1D81"/>
    <w:rsid w:val="00DA25C1"/>
    <w:rsid w:val="00DA590A"/>
    <w:rsid w:val="00DA634F"/>
    <w:rsid w:val="00DA65AC"/>
    <w:rsid w:val="00DB107B"/>
    <w:rsid w:val="00DB13FE"/>
    <w:rsid w:val="00DB1913"/>
    <w:rsid w:val="00DB473B"/>
    <w:rsid w:val="00DB4C9C"/>
    <w:rsid w:val="00DB51BE"/>
    <w:rsid w:val="00DB61B6"/>
    <w:rsid w:val="00DB7E6D"/>
    <w:rsid w:val="00DC02BE"/>
    <w:rsid w:val="00DC1D44"/>
    <w:rsid w:val="00DC410D"/>
    <w:rsid w:val="00DC542B"/>
    <w:rsid w:val="00DC5A81"/>
    <w:rsid w:val="00DC68CA"/>
    <w:rsid w:val="00DC72D2"/>
    <w:rsid w:val="00DC7CBA"/>
    <w:rsid w:val="00DD01CC"/>
    <w:rsid w:val="00DD0E9A"/>
    <w:rsid w:val="00DD0EE6"/>
    <w:rsid w:val="00DD1E9A"/>
    <w:rsid w:val="00DD2508"/>
    <w:rsid w:val="00DD2BD1"/>
    <w:rsid w:val="00DD2D11"/>
    <w:rsid w:val="00DD3657"/>
    <w:rsid w:val="00DD57CC"/>
    <w:rsid w:val="00DD5A67"/>
    <w:rsid w:val="00DD73B7"/>
    <w:rsid w:val="00DE0324"/>
    <w:rsid w:val="00DE085D"/>
    <w:rsid w:val="00DE3BD3"/>
    <w:rsid w:val="00DE45E7"/>
    <w:rsid w:val="00DE6747"/>
    <w:rsid w:val="00DE7731"/>
    <w:rsid w:val="00DE7A4C"/>
    <w:rsid w:val="00DF2312"/>
    <w:rsid w:val="00DF28BC"/>
    <w:rsid w:val="00DF34B9"/>
    <w:rsid w:val="00DF34BA"/>
    <w:rsid w:val="00DF4273"/>
    <w:rsid w:val="00DF454B"/>
    <w:rsid w:val="00DF4D43"/>
    <w:rsid w:val="00DF5121"/>
    <w:rsid w:val="00DF7BB3"/>
    <w:rsid w:val="00E00354"/>
    <w:rsid w:val="00E004B8"/>
    <w:rsid w:val="00E01053"/>
    <w:rsid w:val="00E01DA4"/>
    <w:rsid w:val="00E03F04"/>
    <w:rsid w:val="00E04A7E"/>
    <w:rsid w:val="00E059DA"/>
    <w:rsid w:val="00E0635C"/>
    <w:rsid w:val="00E07ACF"/>
    <w:rsid w:val="00E11F88"/>
    <w:rsid w:val="00E12476"/>
    <w:rsid w:val="00E129FC"/>
    <w:rsid w:val="00E1430B"/>
    <w:rsid w:val="00E1450F"/>
    <w:rsid w:val="00E167E3"/>
    <w:rsid w:val="00E1766D"/>
    <w:rsid w:val="00E20B98"/>
    <w:rsid w:val="00E212B4"/>
    <w:rsid w:val="00E23BD8"/>
    <w:rsid w:val="00E247FF"/>
    <w:rsid w:val="00E24B44"/>
    <w:rsid w:val="00E257D8"/>
    <w:rsid w:val="00E260F2"/>
    <w:rsid w:val="00E26AE1"/>
    <w:rsid w:val="00E27231"/>
    <w:rsid w:val="00E31685"/>
    <w:rsid w:val="00E31B2D"/>
    <w:rsid w:val="00E331A1"/>
    <w:rsid w:val="00E33202"/>
    <w:rsid w:val="00E33611"/>
    <w:rsid w:val="00E336A9"/>
    <w:rsid w:val="00E337CE"/>
    <w:rsid w:val="00E354A1"/>
    <w:rsid w:val="00E436CE"/>
    <w:rsid w:val="00E451C1"/>
    <w:rsid w:val="00E4711D"/>
    <w:rsid w:val="00E472B1"/>
    <w:rsid w:val="00E50624"/>
    <w:rsid w:val="00E53065"/>
    <w:rsid w:val="00E5417E"/>
    <w:rsid w:val="00E54492"/>
    <w:rsid w:val="00E54724"/>
    <w:rsid w:val="00E54823"/>
    <w:rsid w:val="00E5598C"/>
    <w:rsid w:val="00E568DF"/>
    <w:rsid w:val="00E62081"/>
    <w:rsid w:val="00E636AC"/>
    <w:rsid w:val="00E64269"/>
    <w:rsid w:val="00E65260"/>
    <w:rsid w:val="00E66991"/>
    <w:rsid w:val="00E66F48"/>
    <w:rsid w:val="00E67091"/>
    <w:rsid w:val="00E7184C"/>
    <w:rsid w:val="00E7373F"/>
    <w:rsid w:val="00E74896"/>
    <w:rsid w:val="00E74DDF"/>
    <w:rsid w:val="00E8107A"/>
    <w:rsid w:val="00E81303"/>
    <w:rsid w:val="00E82267"/>
    <w:rsid w:val="00E844F8"/>
    <w:rsid w:val="00E853CE"/>
    <w:rsid w:val="00E867B6"/>
    <w:rsid w:val="00E87265"/>
    <w:rsid w:val="00E87894"/>
    <w:rsid w:val="00E90346"/>
    <w:rsid w:val="00E9512D"/>
    <w:rsid w:val="00E959F0"/>
    <w:rsid w:val="00E97036"/>
    <w:rsid w:val="00EA010F"/>
    <w:rsid w:val="00EA23AB"/>
    <w:rsid w:val="00EA2B3E"/>
    <w:rsid w:val="00EA557C"/>
    <w:rsid w:val="00EA62B1"/>
    <w:rsid w:val="00EA6612"/>
    <w:rsid w:val="00EA6E20"/>
    <w:rsid w:val="00EA75E7"/>
    <w:rsid w:val="00EB046A"/>
    <w:rsid w:val="00EB164B"/>
    <w:rsid w:val="00EB2830"/>
    <w:rsid w:val="00EB3A00"/>
    <w:rsid w:val="00EB3DA5"/>
    <w:rsid w:val="00EB59F8"/>
    <w:rsid w:val="00EB5E7E"/>
    <w:rsid w:val="00EB6ED8"/>
    <w:rsid w:val="00EC03A5"/>
    <w:rsid w:val="00EC0F65"/>
    <w:rsid w:val="00EC1376"/>
    <w:rsid w:val="00EC4813"/>
    <w:rsid w:val="00EC7443"/>
    <w:rsid w:val="00ED04D9"/>
    <w:rsid w:val="00ED087B"/>
    <w:rsid w:val="00ED0F3D"/>
    <w:rsid w:val="00ED1B63"/>
    <w:rsid w:val="00ED237A"/>
    <w:rsid w:val="00ED35A7"/>
    <w:rsid w:val="00ED3C1F"/>
    <w:rsid w:val="00ED3F01"/>
    <w:rsid w:val="00ED400E"/>
    <w:rsid w:val="00ED4085"/>
    <w:rsid w:val="00ED420E"/>
    <w:rsid w:val="00ED425F"/>
    <w:rsid w:val="00ED54B6"/>
    <w:rsid w:val="00ED5AEE"/>
    <w:rsid w:val="00ED69A9"/>
    <w:rsid w:val="00ED6FBE"/>
    <w:rsid w:val="00ED7B86"/>
    <w:rsid w:val="00EE2F57"/>
    <w:rsid w:val="00EE492F"/>
    <w:rsid w:val="00EE6087"/>
    <w:rsid w:val="00EE6A02"/>
    <w:rsid w:val="00EE6E66"/>
    <w:rsid w:val="00EE7682"/>
    <w:rsid w:val="00EE76AE"/>
    <w:rsid w:val="00EF2570"/>
    <w:rsid w:val="00EF4C34"/>
    <w:rsid w:val="00EF77C6"/>
    <w:rsid w:val="00F000D3"/>
    <w:rsid w:val="00F00F6B"/>
    <w:rsid w:val="00F0436D"/>
    <w:rsid w:val="00F05438"/>
    <w:rsid w:val="00F056EE"/>
    <w:rsid w:val="00F0673D"/>
    <w:rsid w:val="00F07101"/>
    <w:rsid w:val="00F11944"/>
    <w:rsid w:val="00F134D9"/>
    <w:rsid w:val="00F1361C"/>
    <w:rsid w:val="00F140EF"/>
    <w:rsid w:val="00F156F0"/>
    <w:rsid w:val="00F160C7"/>
    <w:rsid w:val="00F2230A"/>
    <w:rsid w:val="00F2259C"/>
    <w:rsid w:val="00F2408F"/>
    <w:rsid w:val="00F240E9"/>
    <w:rsid w:val="00F259C6"/>
    <w:rsid w:val="00F26DAD"/>
    <w:rsid w:val="00F27274"/>
    <w:rsid w:val="00F27BC1"/>
    <w:rsid w:val="00F312FA"/>
    <w:rsid w:val="00F3140B"/>
    <w:rsid w:val="00F33F2B"/>
    <w:rsid w:val="00F34516"/>
    <w:rsid w:val="00F34D51"/>
    <w:rsid w:val="00F34E9D"/>
    <w:rsid w:val="00F35B12"/>
    <w:rsid w:val="00F36D8F"/>
    <w:rsid w:val="00F40B64"/>
    <w:rsid w:val="00F417B1"/>
    <w:rsid w:val="00F4294C"/>
    <w:rsid w:val="00F42AB1"/>
    <w:rsid w:val="00F4336B"/>
    <w:rsid w:val="00F440F3"/>
    <w:rsid w:val="00F44CC8"/>
    <w:rsid w:val="00F45853"/>
    <w:rsid w:val="00F47FC3"/>
    <w:rsid w:val="00F50329"/>
    <w:rsid w:val="00F51F29"/>
    <w:rsid w:val="00F53AE8"/>
    <w:rsid w:val="00F5427A"/>
    <w:rsid w:val="00F54ACB"/>
    <w:rsid w:val="00F55468"/>
    <w:rsid w:val="00F602DF"/>
    <w:rsid w:val="00F62FBE"/>
    <w:rsid w:val="00F63ACF"/>
    <w:rsid w:val="00F6409D"/>
    <w:rsid w:val="00F665F1"/>
    <w:rsid w:val="00F67011"/>
    <w:rsid w:val="00F672F6"/>
    <w:rsid w:val="00F71AF7"/>
    <w:rsid w:val="00F71DA3"/>
    <w:rsid w:val="00F74153"/>
    <w:rsid w:val="00F744A8"/>
    <w:rsid w:val="00F74663"/>
    <w:rsid w:val="00F750FE"/>
    <w:rsid w:val="00F754A1"/>
    <w:rsid w:val="00F76569"/>
    <w:rsid w:val="00F76691"/>
    <w:rsid w:val="00F80B48"/>
    <w:rsid w:val="00F812E5"/>
    <w:rsid w:val="00F81FD9"/>
    <w:rsid w:val="00F82097"/>
    <w:rsid w:val="00F82B1F"/>
    <w:rsid w:val="00F8360B"/>
    <w:rsid w:val="00F841AA"/>
    <w:rsid w:val="00F84250"/>
    <w:rsid w:val="00F842D3"/>
    <w:rsid w:val="00F843CC"/>
    <w:rsid w:val="00F846B1"/>
    <w:rsid w:val="00F84A94"/>
    <w:rsid w:val="00F84B1F"/>
    <w:rsid w:val="00F87E96"/>
    <w:rsid w:val="00F93730"/>
    <w:rsid w:val="00F93845"/>
    <w:rsid w:val="00F9587D"/>
    <w:rsid w:val="00FA008E"/>
    <w:rsid w:val="00FA1E4E"/>
    <w:rsid w:val="00FA23E8"/>
    <w:rsid w:val="00FA49D9"/>
    <w:rsid w:val="00FA4BB6"/>
    <w:rsid w:val="00FA4C96"/>
    <w:rsid w:val="00FA5CF7"/>
    <w:rsid w:val="00FA749F"/>
    <w:rsid w:val="00FA74CC"/>
    <w:rsid w:val="00FA7830"/>
    <w:rsid w:val="00FB10F3"/>
    <w:rsid w:val="00FB7263"/>
    <w:rsid w:val="00FB72BE"/>
    <w:rsid w:val="00FC1737"/>
    <w:rsid w:val="00FC3B5E"/>
    <w:rsid w:val="00FC4664"/>
    <w:rsid w:val="00FC5B3B"/>
    <w:rsid w:val="00FC5C0F"/>
    <w:rsid w:val="00FC62EF"/>
    <w:rsid w:val="00FC7F79"/>
    <w:rsid w:val="00FD059A"/>
    <w:rsid w:val="00FD09D8"/>
    <w:rsid w:val="00FD1137"/>
    <w:rsid w:val="00FD1744"/>
    <w:rsid w:val="00FD2C35"/>
    <w:rsid w:val="00FD3CC1"/>
    <w:rsid w:val="00FD49AC"/>
    <w:rsid w:val="00FD634C"/>
    <w:rsid w:val="00FE4362"/>
    <w:rsid w:val="00FE53AF"/>
    <w:rsid w:val="00FE6FEB"/>
    <w:rsid w:val="00FE7E6C"/>
    <w:rsid w:val="00FF0982"/>
    <w:rsid w:val="00FF162B"/>
    <w:rsid w:val="00FF1E02"/>
    <w:rsid w:val="00FF30B4"/>
    <w:rsid w:val="00FF3A54"/>
    <w:rsid w:val="00FF4817"/>
    <w:rsid w:val="00FF4A3B"/>
    <w:rsid w:val="00FF78CC"/>
    <w:rsid w:val="00FF7EB6"/>
    <w:rsid w:val="066E0107"/>
    <w:rsid w:val="06B86A37"/>
    <w:rsid w:val="07996F6E"/>
    <w:rsid w:val="097906FF"/>
    <w:rsid w:val="0A2032A3"/>
    <w:rsid w:val="101860EC"/>
    <w:rsid w:val="10C055FF"/>
    <w:rsid w:val="118107EC"/>
    <w:rsid w:val="13D50BC4"/>
    <w:rsid w:val="16BB723D"/>
    <w:rsid w:val="189015C1"/>
    <w:rsid w:val="1BC218BC"/>
    <w:rsid w:val="1BE8440E"/>
    <w:rsid w:val="1D155CEE"/>
    <w:rsid w:val="1F8B663F"/>
    <w:rsid w:val="209B19E0"/>
    <w:rsid w:val="23860B96"/>
    <w:rsid w:val="240371BF"/>
    <w:rsid w:val="29FD04D3"/>
    <w:rsid w:val="2C8A61B5"/>
    <w:rsid w:val="2DF04E50"/>
    <w:rsid w:val="319F7F4E"/>
    <w:rsid w:val="32BC3287"/>
    <w:rsid w:val="36AA5135"/>
    <w:rsid w:val="377203B8"/>
    <w:rsid w:val="37E16F03"/>
    <w:rsid w:val="3D324146"/>
    <w:rsid w:val="3D98207C"/>
    <w:rsid w:val="3EE80F60"/>
    <w:rsid w:val="41A25D3E"/>
    <w:rsid w:val="44E268DA"/>
    <w:rsid w:val="4A627F82"/>
    <w:rsid w:val="4B4F25DA"/>
    <w:rsid w:val="4BE068DB"/>
    <w:rsid w:val="4D577224"/>
    <w:rsid w:val="4EAB630A"/>
    <w:rsid w:val="4ECE2238"/>
    <w:rsid w:val="5AF92295"/>
    <w:rsid w:val="5CD71FC4"/>
    <w:rsid w:val="692D1AE1"/>
    <w:rsid w:val="6C4A05C8"/>
    <w:rsid w:val="6E7E3605"/>
    <w:rsid w:val="6F2179F2"/>
    <w:rsid w:val="6F863CF9"/>
    <w:rsid w:val="6FF5CC65"/>
    <w:rsid w:val="715C0E4B"/>
    <w:rsid w:val="72734D90"/>
    <w:rsid w:val="73AD73D5"/>
    <w:rsid w:val="73B6EB34"/>
    <w:rsid w:val="79EE5BA4"/>
    <w:rsid w:val="7A894339"/>
    <w:rsid w:val="7B3A52A3"/>
    <w:rsid w:val="7E835FD4"/>
    <w:rsid w:val="7EEF11D3"/>
    <w:rsid w:val="7FA30C79"/>
    <w:rsid w:val="7FC96657"/>
    <w:rsid w:val="D8D6DB89"/>
    <w:rsid w:val="DB6F4CAB"/>
    <w:rsid w:val="DF6F9789"/>
    <w:rsid w:val="F7B5F9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link w:val="84"/>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link w:val="34"/>
    <w:qFormat/>
    <w:uiPriority w:val="0"/>
    <w:rPr>
      <w:rFonts w:ascii="宋体" w:hAnsi="Courier New"/>
    </w:r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6"/>
    <w:link w:val="85"/>
    <w:semiHidden/>
    <w:unhideWhenUsed/>
    <w:qFormat/>
    <w:uiPriority w:val="99"/>
    <w:pPr>
      <w:ind w:firstLine="420" w:firstLineChars="200"/>
    </w:pPr>
  </w:style>
  <w:style w:type="character" w:styleId="17">
    <w:name w:val="Strong"/>
    <w:basedOn w:val="16"/>
    <w:qFormat/>
    <w:uiPriority w:val="99"/>
    <w:rPr>
      <w:b/>
    </w:rPr>
  </w:style>
  <w:style w:type="character" w:styleId="18">
    <w:name w:val="FollowedHyperlink"/>
    <w:basedOn w:val="16"/>
    <w:semiHidden/>
    <w:unhideWhenUsed/>
    <w:qFormat/>
    <w:uiPriority w:val="99"/>
    <w:rPr>
      <w:color w:val="800080"/>
      <w:u w:val="single"/>
    </w:rPr>
  </w:style>
  <w:style w:type="character" w:styleId="19">
    <w:name w:val="Hyperlink"/>
    <w:basedOn w:val="16"/>
    <w:unhideWhenUsed/>
    <w:qFormat/>
    <w:uiPriority w:val="99"/>
    <w:rPr>
      <w:color w:val="0000FF" w:themeColor="hyperlink"/>
      <w:u w:val="single"/>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纯文本 Char"/>
    <w:basedOn w:val="16"/>
    <w:link w:val="8"/>
    <w:qFormat/>
    <w:uiPriority w:val="0"/>
    <w:rPr>
      <w:rFonts w:ascii="宋体" w:hAnsi="Courier New" w:eastAsia="宋体" w:cs="Times New Roman"/>
      <w:kern w:val="2"/>
      <w:sz w:val="21"/>
      <w:szCs w:val="24"/>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xl65"/>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8">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20"/>
      <w:szCs w:val="20"/>
    </w:rPr>
  </w:style>
  <w:style w:type="paragraph" w:customStyle="1" w:styleId="3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40">
    <w:name w:val="xl68"/>
    <w:basedOn w:val="1"/>
    <w:qFormat/>
    <w:uiPriority w:val="0"/>
    <w:pPr>
      <w:widowControl/>
      <w:spacing w:before="100" w:beforeAutospacing="1" w:after="100" w:afterAutospacing="1"/>
      <w:jc w:val="left"/>
    </w:pPr>
    <w:rPr>
      <w:rFonts w:ascii="Courier New" w:hAnsi="Courier New" w:cs="Courier New"/>
      <w:color w:val="000000"/>
      <w:kern w:val="0"/>
      <w:sz w:val="20"/>
      <w:szCs w:val="20"/>
    </w:rPr>
  </w:style>
  <w:style w:type="paragraph" w:customStyle="1" w:styleId="41">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42">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20"/>
      <w:szCs w:val="20"/>
    </w:rPr>
  </w:style>
  <w:style w:type="paragraph" w:customStyle="1" w:styleId="43">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44">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45">
    <w:name w:val="xl7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46">
    <w:name w:val="xl74"/>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47">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20"/>
      <w:szCs w:val="20"/>
    </w:rPr>
  </w:style>
  <w:style w:type="paragraph" w:customStyle="1" w:styleId="48">
    <w:name w:val="xl7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49">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0">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i/>
      <w:iCs/>
      <w:color w:val="000000"/>
      <w:kern w:val="0"/>
      <w:sz w:val="20"/>
      <w:szCs w:val="20"/>
    </w:rPr>
  </w:style>
  <w:style w:type="paragraph" w:customStyle="1" w:styleId="51">
    <w:name w:val="xl7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52">
    <w:name w:val="xl80"/>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53">
    <w:name w:val="xl8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54">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20"/>
      <w:szCs w:val="20"/>
    </w:rPr>
  </w:style>
  <w:style w:type="paragraph" w:customStyle="1" w:styleId="55">
    <w:name w:val="xl8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6">
    <w:name w:val="xl8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7">
    <w:name w:val="xl8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58">
    <w:name w:val="xl8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59">
    <w:name w:val="xl87"/>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60">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61">
    <w:name w:val="xl89"/>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62">
    <w:name w:val="xl90"/>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63">
    <w:name w:val="xl91"/>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6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color w:val="000000"/>
      <w:kern w:val="0"/>
      <w:sz w:val="20"/>
      <w:szCs w:val="20"/>
    </w:rPr>
  </w:style>
  <w:style w:type="paragraph" w:customStyle="1" w:styleId="6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000000"/>
      <w:kern w:val="0"/>
      <w:sz w:val="20"/>
      <w:szCs w:val="20"/>
    </w:rPr>
  </w:style>
  <w:style w:type="paragraph" w:customStyle="1" w:styleId="6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000000"/>
      <w:kern w:val="0"/>
      <w:sz w:val="20"/>
      <w:szCs w:val="20"/>
    </w:rPr>
  </w:style>
  <w:style w:type="paragraph" w:customStyle="1" w:styleId="6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70">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7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7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73">
    <w:name w:val="xl10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74">
    <w:name w:val="xl102"/>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75">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i/>
      <w:iCs/>
      <w:color w:val="000000"/>
      <w:kern w:val="0"/>
      <w:sz w:val="20"/>
      <w:szCs w:val="20"/>
    </w:rPr>
  </w:style>
  <w:style w:type="paragraph" w:customStyle="1" w:styleId="76">
    <w:name w:val="xl10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77">
    <w:name w:val="xl10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78">
    <w:name w:val="xl106"/>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79">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8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i/>
      <w:iCs/>
      <w:color w:val="000000"/>
      <w:kern w:val="0"/>
      <w:sz w:val="20"/>
      <w:szCs w:val="20"/>
    </w:rPr>
  </w:style>
  <w:style w:type="paragraph" w:customStyle="1" w:styleId="8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character" w:customStyle="1" w:styleId="84">
    <w:name w:val="正文文本缩进 Char"/>
    <w:basedOn w:val="16"/>
    <w:link w:val="6"/>
    <w:semiHidden/>
    <w:qFormat/>
    <w:uiPriority w:val="99"/>
    <w:rPr>
      <w:rFonts w:ascii="Times New Roman" w:hAnsi="Times New Roman" w:eastAsia="宋体" w:cs="Times New Roman"/>
      <w:kern w:val="2"/>
      <w:sz w:val="21"/>
      <w:szCs w:val="24"/>
    </w:rPr>
  </w:style>
  <w:style w:type="character" w:customStyle="1" w:styleId="85">
    <w:name w:val="正文首行缩进 2 Char"/>
    <w:basedOn w:val="84"/>
    <w:link w:val="1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系列 1</c:v>
                </c:pt>
              </c:strCache>
            </c:strRef>
          </c:tx>
          <c:spPr>
            <a:ln>
              <a:noFill/>
            </a:ln>
          </c:spPr>
          <c:invertIfNegative val="0"/>
          <c:dLbls>
            <c:dLbl>
              <c:idx val="0"/>
              <c:layout/>
              <c:tx>
                <c:rich>
                  <a:bodyPr rot="0" spcFirstLastPara="0" vertOverflow="ellipsis" vert="horz" wrap="square" lIns="38100" tIns="19050" rIns="38100" bIns="19050" anchor="ctr" anchorCtr="1"/>
                  <a:lstStyle/>
                  <a:p>
                    <a:pPr>
                      <a:defRPr lang="zh-CN" sz="1030" b="0" i="0" u="none" strike="noStrike" kern="1200" baseline="0">
                        <a:solidFill>
                          <a:schemeClr val="tx1"/>
                        </a:solidFill>
                        <a:latin typeface="+mn-lt"/>
                        <a:ea typeface="+mn-ea"/>
                        <a:cs typeface="+mn-cs"/>
                      </a:defRPr>
                    </a:pPr>
                    <a:r>
                      <a:rPr lang="en-US" altLang="en-US"/>
                      <a:t>1282.29</a:t>
                    </a:r>
                    <a:endParaRPr lang="en-US" altLang="en-US"/>
                  </a:p>
                </c:rich>
              </c:tx>
              <c:numFmt formatCode="General" sourceLinked="1"/>
              <c:spPr>
                <a:noFill/>
                <a:ln>
                  <a:noFill/>
                </a:ln>
                <a:effectLst/>
              </c:spPr>
              <c:txPr>
                <a:bodyPr rot="0" spcFirstLastPara="0" vertOverflow="ellipsis" vert="horz" wrap="square" lIns="38100" tIns="19050" rIns="38100" bIns="19050" anchor="ctr" anchorCtr="1"/>
                <a:lstStyle/>
                <a:p>
                  <a:pPr>
                    <a:defRPr lang="zh-CN" sz="103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30" b="0" i="0" u="none" strike="noStrike" kern="1200" baseline="0">
                        <a:solidFill>
                          <a:schemeClr val="tx1"/>
                        </a:solidFill>
                        <a:latin typeface="+mn-lt"/>
                        <a:ea typeface="+mn-ea"/>
                        <a:cs typeface="+mn-cs"/>
                      </a:defRPr>
                    </a:pPr>
                    <a:r>
                      <a:rPr lang="en-US" altLang="en-US"/>
                      <a:t>1436.22</a:t>
                    </a:r>
                    <a:endParaRPr lang="en-US" altLang="en-US"/>
                  </a:p>
                </c:rich>
              </c:tx>
              <c:numFmt formatCode="General" sourceLinked="1"/>
              <c:spPr>
                <a:noFill/>
                <a:ln>
                  <a:noFill/>
                </a:ln>
                <a:effectLst/>
              </c:spPr>
              <c:txPr>
                <a:bodyPr rot="0" spcFirstLastPara="0" vertOverflow="ellipsis" vert="horz" wrap="square" lIns="38100" tIns="19050" rIns="38100" bIns="19050" anchor="ctr" anchorCtr="1"/>
                <a:lstStyle/>
                <a:p>
                  <a:pPr>
                    <a:defRPr lang="zh-CN" sz="103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1282.29</c:v>
                </c:pt>
                <c:pt idx="1">
                  <c:v>1436.22</c:v>
                </c:pt>
              </c:numCache>
            </c:numRef>
          </c:val>
        </c:ser>
        <c:dLbls>
          <c:showLegendKey val="0"/>
          <c:showVal val="1"/>
          <c:showCatName val="0"/>
          <c:showSerName val="0"/>
          <c:showPercent val="0"/>
          <c:showBubbleSize val="0"/>
        </c:dLbls>
        <c:gapWidth val="150"/>
        <c:overlap val="100"/>
        <c:axId val="113589632"/>
        <c:axId val="127517824"/>
      </c:barChart>
      <c:catAx>
        <c:axId val="1135896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300" b="0" i="0" u="none" strike="noStrike" kern="1200" baseline="0">
                <a:solidFill>
                  <a:schemeClr val="tx1"/>
                </a:solidFill>
                <a:latin typeface="+mn-lt"/>
                <a:ea typeface="+mn-ea"/>
                <a:cs typeface="+mn-cs"/>
              </a:defRPr>
            </a:pPr>
          </a:p>
        </c:txPr>
        <c:crossAx val="127517824"/>
        <c:crosses val="autoZero"/>
        <c:auto val="1"/>
        <c:lblAlgn val="ctr"/>
        <c:lblOffset val="100"/>
        <c:noMultiLvlLbl val="0"/>
      </c:catAx>
      <c:valAx>
        <c:axId val="1275178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300" b="0" i="0" u="none" strike="noStrike" kern="1200" baseline="0">
                <a:solidFill>
                  <a:schemeClr val="tx1"/>
                </a:solidFill>
                <a:latin typeface="仿宋" panose="02010609060101010101" pitchFamily="3" charset="-122"/>
                <a:ea typeface="仿宋" panose="02010609060101010101" pitchFamily="3" charset="-122"/>
                <a:cs typeface="+mn-cs"/>
              </a:defRPr>
            </a:pPr>
          </a:p>
        </c:txPr>
        <c:crossAx val="113589632"/>
        <c:crosses val="autoZero"/>
        <c:crossBetween val="between"/>
      </c:valAx>
      <c:spPr>
        <a:ln>
          <a:noFill/>
        </a:ln>
      </c:spPr>
    </c:plotArea>
    <c:plotVisOnly val="1"/>
    <c:dispBlanksAs val="gap"/>
    <c:showDLblsOverMax val="0"/>
  </c:chart>
  <c:spPr>
    <a:ln w="9525" cap="flat" cmpd="sng" algn="ctr">
      <a:noFill/>
      <a:prstDash val="solid"/>
      <a:round/>
    </a:ln>
  </c:spPr>
  <c:txPr>
    <a:bodyPr/>
    <a:lstStyle/>
    <a:p>
      <a:pPr>
        <a:defRPr lang="zh-CN" sz="1030" baseline="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26842184096119"/>
          <c:y val="0.0454076367389071"/>
          <c:w val="0.314100233016265"/>
          <c:h val="0.905873797025372"/>
        </c:manualLayout>
      </c:layout>
      <c:pieChart>
        <c:varyColors val="1"/>
        <c:ser>
          <c:idx val="0"/>
          <c:order val="0"/>
          <c:tx>
            <c:strRef>
              <c:f>Sheet1!$B$1</c:f>
              <c:strCache>
                <c:ptCount val="1"/>
                <c:pt idx="0">
                  <c:v>列1</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11148579253691"/>
          <c:y val="0.22823579484997"/>
          <c:w val="0.386435961809129"/>
          <c:h val="0.39037525714691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solidFill>
                    <a:latin typeface="仿宋" panose="02010609060101010101" pitchFamily="3" charset="-122"/>
                    <a:ea typeface="仿宋" panose="02010609060101010101" pitchFamily="3" charset="-122"/>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0.666000000000003</c:v>
                </c:pt>
                <c:pt idx="1">
                  <c:v>0.334000000000001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814629212162364"/>
          <c:y val="0.144359455068116"/>
          <c:w val="0.173330111714375"/>
          <c:h val="0.32362079740033"/>
        </c:manualLayout>
      </c:layout>
      <c:overlay val="0"/>
      <c:txPr>
        <a:bodyPr rot="0" spcFirstLastPara="0" vertOverflow="ellipsis" vert="horz" wrap="square" anchor="ctr" anchorCtr="1"/>
        <a:lstStyle/>
        <a:p>
          <a:pPr>
            <a:defRPr lang="zh-CN" sz="1200" b="0" i="0" u="none" strike="noStrike" kern="1200" baseline="0">
              <a:solidFill>
                <a:schemeClr val="tx1"/>
              </a:solidFill>
              <a:latin typeface="仿宋" panose="02010609060101010101" pitchFamily="3" charset="-122"/>
              <a:ea typeface="仿宋" panose="02010609060101010101" pitchFamily="3" charset="-122"/>
              <a:cs typeface="+mn-cs"/>
            </a:defRPr>
          </a:pPr>
        </a:p>
      </c:txPr>
    </c:legend>
    <c:plotVisOnly val="1"/>
    <c:dispBlanksAs val="zero"/>
    <c:showDLblsOverMax val="0"/>
  </c:chart>
  <c:spPr>
    <a:noFill/>
    <a:ln w="9525"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1282.29</c:v>
                </c:pt>
                <c:pt idx="1">
                  <c:v>1436.22</c:v>
                </c:pt>
              </c:numCache>
            </c:numRef>
          </c:val>
        </c:ser>
        <c:dLbls>
          <c:showLegendKey val="0"/>
          <c:showVal val="1"/>
          <c:showCatName val="0"/>
          <c:showSerName val="0"/>
          <c:showPercent val="0"/>
          <c:showBubbleSize val="0"/>
        </c:dLbls>
        <c:gapWidth val="150"/>
        <c:overlap val="100"/>
        <c:axId val="128856448"/>
        <c:axId val="128857984"/>
      </c:barChart>
      <c:catAx>
        <c:axId val="1288564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300" b="0" i="0" u="none" strike="noStrike" kern="1200" baseline="0">
                <a:solidFill>
                  <a:schemeClr val="tx1"/>
                </a:solidFill>
                <a:latin typeface="+mn-lt"/>
                <a:ea typeface="+mn-ea"/>
                <a:cs typeface="+mn-cs"/>
              </a:defRPr>
            </a:pPr>
          </a:p>
        </c:txPr>
        <c:crossAx val="128857984"/>
        <c:crosses val="autoZero"/>
        <c:auto val="1"/>
        <c:lblAlgn val="ctr"/>
        <c:lblOffset val="100"/>
        <c:noMultiLvlLbl val="0"/>
      </c:catAx>
      <c:valAx>
        <c:axId val="1288579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300" b="0" i="0" u="none" strike="noStrike" kern="1200" baseline="0">
                <a:solidFill>
                  <a:schemeClr val="tx1"/>
                </a:solidFill>
                <a:latin typeface="+mn-lt"/>
                <a:ea typeface="+mn-ea"/>
                <a:cs typeface="+mn-cs"/>
              </a:defRPr>
            </a:pPr>
          </a:p>
        </c:txPr>
        <c:crossAx val="128856448"/>
        <c:crosses val="autoZero"/>
        <c:crossBetween val="between"/>
      </c:valAx>
    </c:plotArea>
    <c:plotVisOnly val="1"/>
    <c:dispBlanksAs val="gap"/>
    <c:showDLblsOverMax val="0"/>
  </c:chart>
  <c:spPr>
    <a:ln w="9525" cap="flat" cmpd="sng" algn="ctr">
      <a:noFill/>
      <a:prstDash val="solid"/>
      <a:round/>
    </a:ln>
  </c:spPr>
  <c:txPr>
    <a:bodyPr/>
    <a:lstStyle/>
    <a:p>
      <a:pPr>
        <a:defRPr lang="zh-CN" sz="1300" baseline="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仿宋" panose="02010609060101010101" pitchFamily="3" charset="-122"/>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1282.29</c:v>
                </c:pt>
                <c:pt idx="1">
                  <c:v>1436.22</c:v>
                </c:pt>
              </c:numCache>
            </c:numRef>
          </c:val>
        </c:ser>
        <c:dLbls>
          <c:showLegendKey val="0"/>
          <c:showVal val="1"/>
          <c:showCatName val="0"/>
          <c:showSerName val="0"/>
          <c:showPercent val="0"/>
          <c:showBubbleSize val="0"/>
        </c:dLbls>
        <c:gapWidth val="150"/>
        <c:overlap val="100"/>
        <c:axId val="127497344"/>
        <c:axId val="127498880"/>
      </c:barChart>
      <c:catAx>
        <c:axId val="127497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300" b="0" i="0" u="none" strike="noStrike" kern="1200" baseline="0">
                <a:solidFill>
                  <a:schemeClr val="tx1"/>
                </a:solidFill>
                <a:latin typeface="+mn-lt"/>
                <a:ea typeface="仿宋" panose="02010609060101010101" pitchFamily="3" charset="-122"/>
                <a:cs typeface="+mn-cs"/>
              </a:defRPr>
            </a:pPr>
          </a:p>
        </c:txPr>
        <c:crossAx val="127498880"/>
        <c:crosses val="autoZero"/>
        <c:auto val="1"/>
        <c:lblAlgn val="ctr"/>
        <c:lblOffset val="100"/>
        <c:noMultiLvlLbl val="0"/>
      </c:catAx>
      <c:valAx>
        <c:axId val="127498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300" b="0" i="0" u="none" strike="noStrike" kern="1200" baseline="0">
                <a:solidFill>
                  <a:schemeClr val="tx1"/>
                </a:solidFill>
                <a:latin typeface="+mn-lt"/>
                <a:ea typeface="仿宋" panose="02010609060101010101" pitchFamily="3" charset="-122"/>
                <a:cs typeface="+mn-cs"/>
              </a:defRPr>
            </a:pPr>
          </a:p>
        </c:txPr>
        <c:crossAx val="127497344"/>
        <c:crosses val="autoZero"/>
        <c:crossBetween val="between"/>
      </c:valAx>
    </c:plotArea>
    <c:plotVisOnly val="1"/>
    <c:dispBlanksAs val="gap"/>
    <c:showDLblsOverMax val="0"/>
  </c:chart>
  <c:spPr>
    <a:ln w="9525" cap="flat" cmpd="sng" algn="ctr">
      <a:noFill/>
      <a:prstDash val="solid"/>
      <a:round/>
    </a:ln>
  </c:spPr>
  <c:txPr>
    <a:bodyPr/>
    <a:lstStyle/>
    <a:p>
      <a:pPr>
        <a:defRPr lang="zh-CN" sz="1300" baseline="0">
          <a:ea typeface="仿宋"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0.00%</c:formatCode>
                <c:ptCount val="5"/>
                <c:pt idx="0">
                  <c:v>0.827900000000001</c:v>
                </c:pt>
                <c:pt idx="1">
                  <c:v>0.1035</c:v>
                </c:pt>
                <c:pt idx="2">
                  <c:v>0.0214</c:v>
                </c:pt>
                <c:pt idx="3">
                  <c:v>0.000800000000000003</c:v>
                </c:pt>
                <c:pt idx="4">
                  <c:v>0.0464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200" b="0" i="0" u="none" strike="noStrike" kern="1200" baseline="0">
              <a:solidFill>
                <a:schemeClr val="tx1"/>
              </a:solidFill>
              <a:latin typeface="仿宋" panose="02010609060101010101" pitchFamily="3" charset="-122"/>
              <a:ea typeface="仿宋" panose="02010609060101010101" pitchFamily="3" charset="-122"/>
              <a:cs typeface="+mn-cs"/>
            </a:defRPr>
          </a:pPr>
        </a:p>
      </c:txPr>
    </c:legend>
    <c:plotVisOnly val="1"/>
    <c:dispBlanksAs val="zero"/>
    <c:showDLblsOverMax val="0"/>
  </c:chart>
  <c:spPr>
    <a:ln w="9525" cap="flat" cmpd="sng" algn="ctr">
      <a:solidFill>
        <a:schemeClr val="bg1"/>
      </a:solidFill>
      <a:prstDash val="solid"/>
      <a:round/>
    </a:ln>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仿宋" panose="02010609060101010101" pitchFamily="3" charset="-122"/>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2">
                  <c:v>公务接待费</c:v>
                </c:pt>
              </c:strCache>
            </c:strRef>
          </c:cat>
          <c:val>
            <c:numRef>
              <c:f>Sheet1!$B$2:$B$4</c:f>
              <c:numCache>
                <c:formatCode>General</c:formatCode>
                <c:ptCount val="3"/>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0747320844832"/>
          <c:y val="0.000747877103597378"/>
          <c:w val="0.329252679155184"/>
          <c:h val="0.614190520302609"/>
        </c:manualLayout>
      </c:layout>
      <c:overlay val="0"/>
      <c:txPr>
        <a:bodyPr rot="0" spcFirstLastPara="0" vertOverflow="ellipsis" vert="horz" wrap="square" anchor="ctr" anchorCtr="1"/>
        <a:lstStyle/>
        <a:p>
          <a:pPr>
            <a:defRPr lang="zh-CN" sz="1200" b="0" i="0" u="none" strike="noStrike" kern="1200" baseline="0">
              <a:solidFill>
                <a:schemeClr val="tx1"/>
              </a:solidFill>
              <a:latin typeface="仿宋" panose="02010609060101010101" pitchFamily="3" charset="-122"/>
              <a:ea typeface="仿宋" panose="02010609060101010101" pitchFamily="3" charset="-122"/>
              <a:cs typeface="+mn-cs"/>
            </a:defRPr>
          </a:pPr>
        </a:p>
      </c:txPr>
    </c:legend>
    <c:plotVisOnly val="1"/>
    <c:dispBlanksAs val="zero"/>
    <c:showDLblsOverMax val="0"/>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1735</Words>
  <Characters>9895</Characters>
  <Lines>82</Lines>
  <Paragraphs>23</Paragraphs>
  <TotalTime>4</TotalTime>
  <ScaleCrop>false</ScaleCrop>
  <LinksUpToDate>false</LinksUpToDate>
  <CharactersWithSpaces>11607</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2025-10-15T11:33:00Z</cp:lastPrinted>
  <dcterms:modified xsi:type="dcterms:W3CDTF">2025-10-22T15:06:13Z</dcterms:modified>
  <dc:title>四川省***</dc:title>
  <cp:revision>1580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KSOTemplateDocerSaveRecord">
    <vt:lpwstr>eyJoZGlkIjoiMGNlOGNlNTA3MjMyMWNjYTRhZTNlY2QwNDM5MjM0NDIiLCJ1c2VySWQiOiIzMjI2OTU0ODQifQ==</vt:lpwstr>
  </property>
  <property fmtid="{D5CDD505-2E9C-101B-9397-08002B2CF9AE}" pid="4" name="ICV">
    <vt:lpwstr>250FF6CB4E7D45306582F86848FF7F6C</vt:lpwstr>
  </property>
</Properties>
</file>